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18728" w14:textId="77777777" w:rsidR="00352E1D" w:rsidRDefault="00352E1D" w:rsidP="00041492">
      <w:pPr>
        <w:pStyle w:val="BodyText"/>
      </w:pPr>
    </w:p>
    <w:p w14:paraId="4EC18729" w14:textId="77777777" w:rsidR="00352E1D" w:rsidRDefault="00352E1D" w:rsidP="00041492">
      <w:pPr>
        <w:pStyle w:val="BodyText"/>
      </w:pPr>
    </w:p>
    <w:p w14:paraId="4EC1872A" w14:textId="77777777" w:rsidR="00352E1D" w:rsidRDefault="00352E1D" w:rsidP="00041492">
      <w:pPr>
        <w:pStyle w:val="BodyText"/>
      </w:pPr>
    </w:p>
    <w:p w14:paraId="4EC1872B" w14:textId="77777777" w:rsidR="00352E1D" w:rsidRDefault="00352E1D" w:rsidP="00041492">
      <w:pPr>
        <w:pStyle w:val="BodyText"/>
      </w:pPr>
    </w:p>
    <w:p w14:paraId="4EC1872C" w14:textId="77777777" w:rsidR="00352E1D" w:rsidRDefault="00352E1D" w:rsidP="00041492">
      <w:pPr>
        <w:pStyle w:val="BodyText"/>
      </w:pPr>
    </w:p>
    <w:p w14:paraId="4EC1872D" w14:textId="77777777" w:rsidR="00352E1D" w:rsidRDefault="006D10F0">
      <w:pPr>
        <w:pStyle w:val="Title"/>
      </w:pPr>
      <w:r>
        <w:rPr>
          <w:spacing w:val="-14"/>
        </w:rPr>
        <w:t>WSDOT</w:t>
      </w:r>
      <w:r>
        <w:rPr>
          <w:spacing w:val="-13"/>
        </w:rPr>
        <w:t xml:space="preserve"> </w:t>
      </w:r>
      <w:r>
        <w:rPr>
          <w:spacing w:val="-14"/>
        </w:rPr>
        <w:t>POSITION</w:t>
      </w:r>
      <w:r>
        <w:rPr>
          <w:spacing w:val="-13"/>
        </w:rPr>
        <w:t xml:space="preserve"> </w:t>
      </w:r>
      <w:r>
        <w:rPr>
          <w:spacing w:val="-14"/>
        </w:rPr>
        <w:t>PAPER</w:t>
      </w:r>
    </w:p>
    <w:p w14:paraId="4EC1872E" w14:textId="77777777" w:rsidR="00352E1D" w:rsidRDefault="00352E1D" w:rsidP="00041492">
      <w:pPr>
        <w:pStyle w:val="BodyText"/>
      </w:pPr>
    </w:p>
    <w:p w14:paraId="4EC1872F" w14:textId="77777777" w:rsidR="00352E1D" w:rsidRDefault="00352E1D" w:rsidP="00041492">
      <w:pPr>
        <w:pStyle w:val="BodyText"/>
      </w:pPr>
    </w:p>
    <w:p w14:paraId="4EC18730" w14:textId="77777777" w:rsidR="00352E1D" w:rsidRDefault="00352E1D" w:rsidP="00041492">
      <w:pPr>
        <w:pStyle w:val="BodyText"/>
      </w:pPr>
    </w:p>
    <w:p w14:paraId="4EC18731" w14:textId="77777777" w:rsidR="00352E1D" w:rsidRDefault="00352E1D" w:rsidP="00041492">
      <w:pPr>
        <w:pStyle w:val="BodyText"/>
      </w:pPr>
    </w:p>
    <w:p w14:paraId="4EC18732" w14:textId="77777777" w:rsidR="00352E1D" w:rsidRDefault="00352E1D" w:rsidP="00041492">
      <w:pPr>
        <w:pStyle w:val="BodyText"/>
      </w:pPr>
    </w:p>
    <w:p w14:paraId="4EC18733" w14:textId="37D6385F" w:rsidR="00352E1D" w:rsidRDefault="006D10F0" w:rsidP="00041492">
      <w:pPr>
        <w:pStyle w:val="BodyText"/>
      </w:pPr>
      <w:bookmarkStart w:id="0" w:name="_Hlk207011917"/>
      <w:r>
        <w:t>DRB</w:t>
      </w:r>
      <w:r>
        <w:rPr>
          <w:spacing w:val="-4"/>
        </w:rPr>
        <w:t xml:space="preserve"> </w:t>
      </w:r>
      <w:r>
        <w:t>Hearing</w:t>
      </w:r>
      <w:r>
        <w:rPr>
          <w:spacing w:val="-4"/>
        </w:rPr>
        <w:t xml:space="preserve"> </w:t>
      </w:r>
      <w:r>
        <w:t>01:</w:t>
      </w:r>
      <w:r>
        <w:rPr>
          <w:spacing w:val="-4"/>
        </w:rPr>
        <w:t xml:space="preserve"> </w:t>
      </w:r>
      <w:r w:rsidR="00CB33D1">
        <w:t>PCO</w:t>
      </w:r>
      <w:r w:rsidR="00B46560">
        <w:t xml:space="preserve"> 100 Existing Vault NW 12</w:t>
      </w:r>
    </w:p>
    <w:p w14:paraId="4EC18735" w14:textId="4EA71E3A" w:rsidR="00352E1D" w:rsidRDefault="006D10F0" w:rsidP="00041492">
      <w:pPr>
        <w:pStyle w:val="BodyText"/>
      </w:pPr>
      <w:r>
        <w:t>I-405</w:t>
      </w:r>
      <w:r w:rsidR="009F188B">
        <w:rPr>
          <w:spacing w:val="-8"/>
        </w:rPr>
        <w:t xml:space="preserve">, </w:t>
      </w:r>
      <w:r w:rsidR="009F188B">
        <w:t xml:space="preserve">Brickyard to SR 527 Improvement </w:t>
      </w:r>
      <w:r w:rsidR="00772B8D">
        <w:t xml:space="preserve">Project </w:t>
      </w:r>
    </w:p>
    <w:bookmarkEnd w:id="0"/>
    <w:p w14:paraId="4EC18736" w14:textId="77777777" w:rsidR="00352E1D" w:rsidRDefault="00352E1D" w:rsidP="00041492">
      <w:pPr>
        <w:pStyle w:val="BodyText"/>
      </w:pPr>
    </w:p>
    <w:p w14:paraId="4EC18737" w14:textId="77777777" w:rsidR="00352E1D" w:rsidRDefault="00352E1D" w:rsidP="00041492">
      <w:pPr>
        <w:pStyle w:val="BodyText"/>
      </w:pPr>
    </w:p>
    <w:p w14:paraId="4EC18738" w14:textId="77777777" w:rsidR="00352E1D" w:rsidRDefault="00352E1D" w:rsidP="00041492">
      <w:pPr>
        <w:pStyle w:val="BodyText"/>
      </w:pPr>
    </w:p>
    <w:p w14:paraId="4EC18739" w14:textId="08B3E45B" w:rsidR="00352E1D" w:rsidRDefault="0067069E" w:rsidP="00041492">
      <w:pPr>
        <w:pStyle w:val="BodyText"/>
      </w:pPr>
      <w:r>
        <w:t>Submitted</w:t>
      </w:r>
      <w:r w:rsidR="006D10F0">
        <w:rPr>
          <w:spacing w:val="2"/>
        </w:rPr>
        <w:t xml:space="preserve"> </w:t>
      </w:r>
      <w:r w:rsidR="006D10F0">
        <w:t>by:</w:t>
      </w:r>
      <w:r w:rsidR="006D10F0">
        <w:rPr>
          <w:spacing w:val="2"/>
        </w:rPr>
        <w:t xml:space="preserve"> </w:t>
      </w:r>
      <w:r w:rsidR="006D10F0">
        <w:t>Washington State</w:t>
      </w:r>
      <w:r w:rsidR="006D10F0">
        <w:rPr>
          <w:spacing w:val="1"/>
        </w:rPr>
        <w:t xml:space="preserve"> </w:t>
      </w:r>
      <w:r w:rsidR="006D10F0">
        <w:t>Department</w:t>
      </w:r>
      <w:r w:rsidR="006D10F0">
        <w:rPr>
          <w:spacing w:val="4"/>
        </w:rPr>
        <w:t xml:space="preserve"> </w:t>
      </w:r>
      <w:r w:rsidR="006D10F0">
        <w:t>of</w:t>
      </w:r>
      <w:r w:rsidR="006D10F0">
        <w:rPr>
          <w:spacing w:val="1"/>
        </w:rPr>
        <w:t xml:space="preserve"> </w:t>
      </w:r>
      <w:r w:rsidR="006D10F0">
        <w:rPr>
          <w:spacing w:val="-2"/>
        </w:rPr>
        <w:t>Transporta</w:t>
      </w:r>
      <w:r>
        <w:rPr>
          <w:spacing w:val="-2"/>
        </w:rPr>
        <w:t>ti</w:t>
      </w:r>
      <w:r w:rsidR="006D10F0">
        <w:rPr>
          <w:spacing w:val="-2"/>
        </w:rPr>
        <w:t>on</w:t>
      </w:r>
    </w:p>
    <w:p w14:paraId="4EC1873A" w14:textId="36284815" w:rsidR="00352E1D" w:rsidRDefault="006D10F0" w:rsidP="00041492">
      <w:pPr>
        <w:pStyle w:val="BodyText"/>
      </w:pPr>
      <w:r>
        <w:t>Date:</w:t>
      </w:r>
      <w:r>
        <w:rPr>
          <w:spacing w:val="-7"/>
        </w:rPr>
        <w:t xml:space="preserve"> </w:t>
      </w:r>
      <w:r w:rsidR="00ED3771">
        <w:t>December</w:t>
      </w:r>
      <w:r w:rsidR="00772B8D">
        <w:t xml:space="preserve">, </w:t>
      </w:r>
      <w:r w:rsidR="00CE70D0">
        <w:t>11</w:t>
      </w:r>
      <w:r w:rsidR="00772B8D">
        <w:t>, 2025</w:t>
      </w:r>
    </w:p>
    <w:p w14:paraId="4EC1873B" w14:textId="77777777" w:rsidR="00352E1D" w:rsidRDefault="00352E1D" w:rsidP="00041492">
      <w:pPr>
        <w:pStyle w:val="BodyText"/>
        <w:sectPr w:rsidR="00352E1D">
          <w:headerReference w:type="default" r:id="rId8"/>
          <w:footerReference w:type="default" r:id="rId9"/>
          <w:type w:val="continuous"/>
          <w:pgSz w:w="12240" w:h="15840"/>
          <w:pgMar w:top="1820" w:right="1080" w:bottom="860" w:left="1080" w:header="0" w:footer="675" w:gutter="0"/>
          <w:pgNumType w:start="1"/>
          <w:cols w:space="720"/>
        </w:sectPr>
      </w:pPr>
    </w:p>
    <w:p w14:paraId="4EC1873C" w14:textId="77777777" w:rsidR="00352E1D" w:rsidRDefault="006D10F0" w:rsidP="008734B4">
      <w:pPr>
        <w:pStyle w:val="TOCHeading"/>
        <w:numPr>
          <w:ilvl w:val="0"/>
          <w:numId w:val="0"/>
        </w:numPr>
        <w:ind w:left="360"/>
      </w:pPr>
      <w:bookmarkStart w:id="1" w:name="Table_of_Contents"/>
      <w:bookmarkStart w:id="2" w:name="_Toc214285803"/>
      <w:bookmarkEnd w:id="1"/>
      <w:r>
        <w:lastRenderedPageBreak/>
        <w:t>Table</w:t>
      </w:r>
      <w:r>
        <w:rPr>
          <w:spacing w:val="-12"/>
        </w:rPr>
        <w:t xml:space="preserve"> </w:t>
      </w:r>
      <w:r>
        <w:t>of</w:t>
      </w:r>
      <w:r>
        <w:rPr>
          <w:spacing w:val="-12"/>
        </w:rPr>
        <w:t xml:space="preserve"> </w:t>
      </w:r>
      <w:r>
        <w:t>Contents</w:t>
      </w:r>
      <w:bookmarkEnd w:id="2"/>
    </w:p>
    <w:sdt>
      <w:sdtPr>
        <w:id w:val="997540721"/>
        <w:docPartObj>
          <w:docPartGallery w:val="Table of Contents"/>
          <w:docPartUnique/>
        </w:docPartObj>
      </w:sdtPr>
      <w:sdtEndPr>
        <w:rPr>
          <w:b/>
          <w:bCs/>
          <w:noProof/>
        </w:rPr>
      </w:sdtEndPr>
      <w:sdtContent>
        <w:p w14:paraId="75849EC4" w14:textId="456420A7" w:rsidR="002A7A46" w:rsidRDefault="00963743">
          <w:pPr>
            <w:pStyle w:val="TOC1"/>
            <w:tabs>
              <w:tab w:val="left" w:pos="799"/>
              <w:tab w:val="right" w:leader="dot" w:pos="1007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0002712" w:history="1">
            <w:r w:rsidR="002A7A46" w:rsidRPr="009A14BA">
              <w:rPr>
                <w:rStyle w:val="Hyperlink"/>
                <w:noProof/>
                <w:w w:val="99"/>
              </w:rPr>
              <w:t>1</w:t>
            </w:r>
            <w:r w:rsidR="002A7A46">
              <w:rPr>
                <w:rFonts w:asciiTheme="minorHAnsi" w:eastAsiaTheme="minorEastAsia" w:hAnsiTheme="minorHAnsi" w:cstheme="minorBidi"/>
                <w:noProof/>
                <w:kern w:val="2"/>
                <w:sz w:val="24"/>
                <w:szCs w:val="24"/>
                <w14:ligatures w14:val="standardContextual"/>
              </w:rPr>
              <w:tab/>
            </w:r>
            <w:r w:rsidR="002A7A46" w:rsidRPr="009A14BA">
              <w:rPr>
                <w:rStyle w:val="Hyperlink"/>
                <w:noProof/>
              </w:rPr>
              <w:t>Introduction</w:t>
            </w:r>
            <w:r w:rsidR="002A7A46">
              <w:rPr>
                <w:noProof/>
                <w:webHidden/>
              </w:rPr>
              <w:tab/>
            </w:r>
            <w:r w:rsidR="002A7A46">
              <w:rPr>
                <w:noProof/>
                <w:webHidden/>
              </w:rPr>
              <w:fldChar w:fldCharType="begin"/>
            </w:r>
            <w:r w:rsidR="002A7A46">
              <w:rPr>
                <w:noProof/>
                <w:webHidden/>
              </w:rPr>
              <w:instrText xml:space="preserve"> PAGEREF _Toc220002712 \h </w:instrText>
            </w:r>
            <w:r w:rsidR="002A7A46">
              <w:rPr>
                <w:noProof/>
                <w:webHidden/>
              </w:rPr>
            </w:r>
            <w:r w:rsidR="002A7A46">
              <w:rPr>
                <w:noProof/>
                <w:webHidden/>
              </w:rPr>
              <w:fldChar w:fldCharType="separate"/>
            </w:r>
            <w:r w:rsidR="002A7A46">
              <w:rPr>
                <w:noProof/>
                <w:webHidden/>
              </w:rPr>
              <w:t>3</w:t>
            </w:r>
            <w:r w:rsidR="002A7A46">
              <w:rPr>
                <w:noProof/>
                <w:webHidden/>
              </w:rPr>
              <w:fldChar w:fldCharType="end"/>
            </w:r>
          </w:hyperlink>
        </w:p>
        <w:p w14:paraId="7BCBB7C4" w14:textId="5E264F7C" w:rsidR="002A7A46" w:rsidRDefault="002A7A46">
          <w:pPr>
            <w:pStyle w:val="TOC1"/>
            <w:tabs>
              <w:tab w:val="left" w:pos="799"/>
              <w:tab w:val="right" w:leader="dot" w:pos="10070"/>
            </w:tabs>
            <w:rPr>
              <w:rFonts w:asciiTheme="minorHAnsi" w:eastAsiaTheme="minorEastAsia" w:hAnsiTheme="minorHAnsi" w:cstheme="minorBidi"/>
              <w:noProof/>
              <w:kern w:val="2"/>
              <w:sz w:val="24"/>
              <w:szCs w:val="24"/>
              <w14:ligatures w14:val="standardContextual"/>
            </w:rPr>
          </w:pPr>
          <w:hyperlink w:anchor="_Toc220002713" w:history="1">
            <w:r w:rsidRPr="009A14BA">
              <w:rPr>
                <w:rStyle w:val="Hyperlink"/>
                <w:noProof/>
                <w:w w:val="99"/>
              </w:rPr>
              <w:t>2</w:t>
            </w:r>
            <w:r>
              <w:rPr>
                <w:rFonts w:asciiTheme="minorHAnsi" w:eastAsiaTheme="minorEastAsia" w:hAnsiTheme="minorHAnsi" w:cstheme="minorBidi"/>
                <w:noProof/>
                <w:kern w:val="2"/>
                <w:sz w:val="24"/>
                <w:szCs w:val="24"/>
                <w14:ligatures w14:val="standardContextual"/>
              </w:rPr>
              <w:tab/>
            </w:r>
            <w:r w:rsidRPr="009A14BA">
              <w:rPr>
                <w:rStyle w:val="Hyperlink"/>
                <w:noProof/>
              </w:rPr>
              <w:t>Project Summary</w:t>
            </w:r>
            <w:r>
              <w:rPr>
                <w:noProof/>
                <w:webHidden/>
              </w:rPr>
              <w:tab/>
            </w:r>
            <w:r>
              <w:rPr>
                <w:noProof/>
                <w:webHidden/>
              </w:rPr>
              <w:fldChar w:fldCharType="begin"/>
            </w:r>
            <w:r>
              <w:rPr>
                <w:noProof/>
                <w:webHidden/>
              </w:rPr>
              <w:instrText xml:space="preserve"> PAGEREF _Toc220002713 \h </w:instrText>
            </w:r>
            <w:r>
              <w:rPr>
                <w:noProof/>
                <w:webHidden/>
              </w:rPr>
            </w:r>
            <w:r>
              <w:rPr>
                <w:noProof/>
                <w:webHidden/>
              </w:rPr>
              <w:fldChar w:fldCharType="separate"/>
            </w:r>
            <w:r>
              <w:rPr>
                <w:noProof/>
                <w:webHidden/>
              </w:rPr>
              <w:t>4</w:t>
            </w:r>
            <w:r>
              <w:rPr>
                <w:noProof/>
                <w:webHidden/>
              </w:rPr>
              <w:fldChar w:fldCharType="end"/>
            </w:r>
          </w:hyperlink>
        </w:p>
        <w:p w14:paraId="5155D011" w14:textId="461E0A15" w:rsidR="002A7A46" w:rsidRDefault="002A7A46">
          <w:pPr>
            <w:pStyle w:val="TOC1"/>
            <w:tabs>
              <w:tab w:val="left" w:pos="799"/>
              <w:tab w:val="right" w:leader="dot" w:pos="10070"/>
            </w:tabs>
            <w:rPr>
              <w:rFonts w:asciiTheme="minorHAnsi" w:eastAsiaTheme="minorEastAsia" w:hAnsiTheme="minorHAnsi" w:cstheme="minorBidi"/>
              <w:noProof/>
              <w:kern w:val="2"/>
              <w:sz w:val="24"/>
              <w:szCs w:val="24"/>
              <w14:ligatures w14:val="standardContextual"/>
            </w:rPr>
          </w:pPr>
          <w:hyperlink w:anchor="_Toc220002714" w:history="1">
            <w:r w:rsidRPr="009A14BA">
              <w:rPr>
                <w:rStyle w:val="Hyperlink"/>
                <w:noProof/>
                <w:w w:val="99"/>
              </w:rPr>
              <w:t>3</w:t>
            </w:r>
            <w:r>
              <w:rPr>
                <w:rFonts w:asciiTheme="minorHAnsi" w:eastAsiaTheme="minorEastAsia" w:hAnsiTheme="minorHAnsi" w:cstheme="minorBidi"/>
                <w:noProof/>
                <w:kern w:val="2"/>
                <w:sz w:val="24"/>
                <w:szCs w:val="24"/>
                <w14:ligatures w14:val="standardContextual"/>
              </w:rPr>
              <w:tab/>
            </w:r>
            <w:r w:rsidRPr="009A14BA">
              <w:rPr>
                <w:rStyle w:val="Hyperlink"/>
                <w:noProof/>
              </w:rPr>
              <w:t>Relevant Contractual Requirements</w:t>
            </w:r>
            <w:r>
              <w:rPr>
                <w:noProof/>
                <w:webHidden/>
              </w:rPr>
              <w:tab/>
            </w:r>
            <w:r>
              <w:rPr>
                <w:noProof/>
                <w:webHidden/>
              </w:rPr>
              <w:fldChar w:fldCharType="begin"/>
            </w:r>
            <w:r>
              <w:rPr>
                <w:noProof/>
                <w:webHidden/>
              </w:rPr>
              <w:instrText xml:space="preserve"> PAGEREF _Toc220002714 \h </w:instrText>
            </w:r>
            <w:r>
              <w:rPr>
                <w:noProof/>
                <w:webHidden/>
              </w:rPr>
            </w:r>
            <w:r>
              <w:rPr>
                <w:noProof/>
                <w:webHidden/>
              </w:rPr>
              <w:fldChar w:fldCharType="separate"/>
            </w:r>
            <w:r>
              <w:rPr>
                <w:noProof/>
                <w:webHidden/>
              </w:rPr>
              <w:t>4</w:t>
            </w:r>
            <w:r>
              <w:rPr>
                <w:noProof/>
                <w:webHidden/>
              </w:rPr>
              <w:fldChar w:fldCharType="end"/>
            </w:r>
          </w:hyperlink>
        </w:p>
        <w:p w14:paraId="641BEB60" w14:textId="03722B3B" w:rsidR="002A7A46" w:rsidRDefault="002A7A46">
          <w:pPr>
            <w:pStyle w:val="TOC2"/>
            <w:tabs>
              <w:tab w:val="left" w:pos="1319"/>
              <w:tab w:val="right" w:leader="dot" w:pos="10070"/>
            </w:tabs>
            <w:rPr>
              <w:rFonts w:asciiTheme="minorHAnsi" w:eastAsiaTheme="minorEastAsia" w:hAnsiTheme="minorHAnsi" w:cstheme="minorBidi"/>
              <w:noProof/>
              <w:kern w:val="2"/>
              <w:sz w:val="24"/>
              <w:szCs w:val="24"/>
              <w14:ligatures w14:val="standardContextual"/>
            </w:rPr>
          </w:pPr>
          <w:hyperlink w:anchor="_Toc220002715" w:history="1">
            <w:r w:rsidRPr="009A14BA">
              <w:rPr>
                <w:rStyle w:val="Hyperlink"/>
                <w:noProof/>
                <w:spacing w:val="-1"/>
                <w:w w:val="99"/>
              </w:rPr>
              <w:t>3.1</w:t>
            </w:r>
            <w:r>
              <w:rPr>
                <w:rFonts w:asciiTheme="minorHAnsi" w:eastAsiaTheme="minorEastAsia" w:hAnsiTheme="minorHAnsi" w:cstheme="minorBidi"/>
                <w:noProof/>
                <w:kern w:val="2"/>
                <w:sz w:val="24"/>
                <w:szCs w:val="24"/>
                <w14:ligatures w14:val="standardContextual"/>
              </w:rPr>
              <w:tab/>
            </w:r>
            <w:r w:rsidRPr="009A14BA">
              <w:rPr>
                <w:rStyle w:val="Hyperlink"/>
                <w:noProof/>
              </w:rPr>
              <w:t>RFP Chapter 1, General Provisions</w:t>
            </w:r>
            <w:r>
              <w:rPr>
                <w:noProof/>
                <w:webHidden/>
              </w:rPr>
              <w:tab/>
            </w:r>
            <w:r>
              <w:rPr>
                <w:noProof/>
                <w:webHidden/>
              </w:rPr>
              <w:fldChar w:fldCharType="begin"/>
            </w:r>
            <w:r>
              <w:rPr>
                <w:noProof/>
                <w:webHidden/>
              </w:rPr>
              <w:instrText xml:space="preserve"> PAGEREF _Toc220002715 \h </w:instrText>
            </w:r>
            <w:r>
              <w:rPr>
                <w:noProof/>
                <w:webHidden/>
              </w:rPr>
            </w:r>
            <w:r>
              <w:rPr>
                <w:noProof/>
                <w:webHidden/>
              </w:rPr>
              <w:fldChar w:fldCharType="separate"/>
            </w:r>
            <w:r>
              <w:rPr>
                <w:noProof/>
                <w:webHidden/>
              </w:rPr>
              <w:t>4</w:t>
            </w:r>
            <w:r>
              <w:rPr>
                <w:noProof/>
                <w:webHidden/>
              </w:rPr>
              <w:fldChar w:fldCharType="end"/>
            </w:r>
          </w:hyperlink>
        </w:p>
        <w:p w14:paraId="1E219B7E" w14:textId="3912539C" w:rsidR="002A7A46" w:rsidRDefault="002A7A46">
          <w:pPr>
            <w:pStyle w:val="TOC2"/>
            <w:tabs>
              <w:tab w:val="left" w:pos="1319"/>
              <w:tab w:val="right" w:leader="dot" w:pos="10070"/>
            </w:tabs>
            <w:rPr>
              <w:rFonts w:asciiTheme="minorHAnsi" w:eastAsiaTheme="minorEastAsia" w:hAnsiTheme="minorHAnsi" w:cstheme="minorBidi"/>
              <w:noProof/>
              <w:kern w:val="2"/>
              <w:sz w:val="24"/>
              <w:szCs w:val="24"/>
              <w14:ligatures w14:val="standardContextual"/>
            </w:rPr>
          </w:pPr>
          <w:hyperlink w:anchor="_Toc220002716" w:history="1">
            <w:r w:rsidRPr="009A14BA">
              <w:rPr>
                <w:rStyle w:val="Hyperlink"/>
                <w:noProof/>
                <w:spacing w:val="-1"/>
                <w:w w:val="99"/>
              </w:rPr>
              <w:t>3.2</w:t>
            </w:r>
            <w:r>
              <w:rPr>
                <w:rFonts w:asciiTheme="minorHAnsi" w:eastAsiaTheme="minorEastAsia" w:hAnsiTheme="minorHAnsi" w:cstheme="minorBidi"/>
                <w:noProof/>
                <w:kern w:val="2"/>
                <w:sz w:val="24"/>
                <w:szCs w:val="24"/>
                <w14:ligatures w14:val="standardContextual"/>
              </w:rPr>
              <w:tab/>
            </w:r>
            <w:r w:rsidRPr="009A14BA">
              <w:rPr>
                <w:rStyle w:val="Hyperlink"/>
                <w:noProof/>
              </w:rPr>
              <w:t>RFP Chapter 2, Technical Requirements</w:t>
            </w:r>
            <w:r>
              <w:rPr>
                <w:noProof/>
                <w:webHidden/>
              </w:rPr>
              <w:tab/>
            </w:r>
            <w:r>
              <w:rPr>
                <w:noProof/>
                <w:webHidden/>
              </w:rPr>
              <w:fldChar w:fldCharType="begin"/>
            </w:r>
            <w:r>
              <w:rPr>
                <w:noProof/>
                <w:webHidden/>
              </w:rPr>
              <w:instrText xml:space="preserve"> PAGEREF _Toc220002716 \h </w:instrText>
            </w:r>
            <w:r>
              <w:rPr>
                <w:noProof/>
                <w:webHidden/>
              </w:rPr>
            </w:r>
            <w:r>
              <w:rPr>
                <w:noProof/>
                <w:webHidden/>
              </w:rPr>
              <w:fldChar w:fldCharType="separate"/>
            </w:r>
            <w:r>
              <w:rPr>
                <w:noProof/>
                <w:webHidden/>
              </w:rPr>
              <w:t>6</w:t>
            </w:r>
            <w:r>
              <w:rPr>
                <w:noProof/>
                <w:webHidden/>
              </w:rPr>
              <w:fldChar w:fldCharType="end"/>
            </w:r>
          </w:hyperlink>
        </w:p>
        <w:p w14:paraId="0A56ED8B" w14:textId="19454AA6" w:rsidR="002A7A46" w:rsidRDefault="002A7A46">
          <w:pPr>
            <w:pStyle w:val="TOC2"/>
            <w:tabs>
              <w:tab w:val="left" w:pos="1319"/>
              <w:tab w:val="right" w:leader="dot" w:pos="10070"/>
            </w:tabs>
            <w:rPr>
              <w:rFonts w:asciiTheme="minorHAnsi" w:eastAsiaTheme="minorEastAsia" w:hAnsiTheme="minorHAnsi" w:cstheme="minorBidi"/>
              <w:noProof/>
              <w:kern w:val="2"/>
              <w:sz w:val="24"/>
              <w:szCs w:val="24"/>
              <w14:ligatures w14:val="standardContextual"/>
            </w:rPr>
          </w:pPr>
          <w:hyperlink w:anchor="_Toc220002717" w:history="1">
            <w:r w:rsidRPr="009A14BA">
              <w:rPr>
                <w:rStyle w:val="Hyperlink"/>
                <w:noProof/>
                <w:spacing w:val="-1"/>
                <w:w w:val="99"/>
              </w:rPr>
              <w:t>3.3</w:t>
            </w:r>
            <w:r>
              <w:rPr>
                <w:rFonts w:asciiTheme="minorHAnsi" w:eastAsiaTheme="minorEastAsia" w:hAnsiTheme="minorHAnsi" w:cstheme="minorBidi"/>
                <w:noProof/>
                <w:kern w:val="2"/>
                <w:sz w:val="24"/>
                <w:szCs w:val="24"/>
                <w14:ligatures w14:val="standardContextual"/>
              </w:rPr>
              <w:tab/>
            </w:r>
            <w:r w:rsidRPr="009A14BA">
              <w:rPr>
                <w:rStyle w:val="Hyperlink"/>
                <w:noProof/>
              </w:rPr>
              <w:t>Appendices</w:t>
            </w:r>
            <w:r>
              <w:rPr>
                <w:noProof/>
                <w:webHidden/>
              </w:rPr>
              <w:tab/>
            </w:r>
            <w:r>
              <w:rPr>
                <w:noProof/>
                <w:webHidden/>
              </w:rPr>
              <w:fldChar w:fldCharType="begin"/>
            </w:r>
            <w:r>
              <w:rPr>
                <w:noProof/>
                <w:webHidden/>
              </w:rPr>
              <w:instrText xml:space="preserve"> PAGEREF _Toc220002717 \h </w:instrText>
            </w:r>
            <w:r>
              <w:rPr>
                <w:noProof/>
                <w:webHidden/>
              </w:rPr>
            </w:r>
            <w:r>
              <w:rPr>
                <w:noProof/>
                <w:webHidden/>
              </w:rPr>
              <w:fldChar w:fldCharType="separate"/>
            </w:r>
            <w:r>
              <w:rPr>
                <w:noProof/>
                <w:webHidden/>
              </w:rPr>
              <w:t>6</w:t>
            </w:r>
            <w:r>
              <w:rPr>
                <w:noProof/>
                <w:webHidden/>
              </w:rPr>
              <w:fldChar w:fldCharType="end"/>
            </w:r>
          </w:hyperlink>
        </w:p>
        <w:p w14:paraId="43E3ACE3" w14:textId="401C91CB" w:rsidR="002A7A46" w:rsidRDefault="002A7A46">
          <w:pPr>
            <w:pStyle w:val="TOC2"/>
            <w:tabs>
              <w:tab w:val="left" w:pos="1319"/>
              <w:tab w:val="right" w:leader="dot" w:pos="10070"/>
            </w:tabs>
            <w:rPr>
              <w:rFonts w:asciiTheme="minorHAnsi" w:eastAsiaTheme="minorEastAsia" w:hAnsiTheme="minorHAnsi" w:cstheme="minorBidi"/>
              <w:noProof/>
              <w:kern w:val="2"/>
              <w:sz w:val="24"/>
              <w:szCs w:val="24"/>
              <w14:ligatures w14:val="standardContextual"/>
            </w:rPr>
          </w:pPr>
          <w:hyperlink w:anchor="_Toc220002718" w:history="1">
            <w:r w:rsidRPr="009A14BA">
              <w:rPr>
                <w:rStyle w:val="Hyperlink"/>
                <w:noProof/>
                <w:spacing w:val="-1"/>
                <w:w w:val="99"/>
              </w:rPr>
              <w:t>3.4</w:t>
            </w:r>
            <w:r>
              <w:rPr>
                <w:rFonts w:asciiTheme="minorHAnsi" w:eastAsiaTheme="minorEastAsia" w:hAnsiTheme="minorHAnsi" w:cstheme="minorBidi"/>
                <w:noProof/>
                <w:kern w:val="2"/>
                <w:sz w:val="24"/>
                <w:szCs w:val="24"/>
                <w14:ligatures w14:val="standardContextual"/>
              </w:rPr>
              <w:tab/>
            </w:r>
            <w:r w:rsidRPr="009A14BA">
              <w:rPr>
                <w:rStyle w:val="Hyperlink"/>
                <w:noProof/>
              </w:rPr>
              <w:t>Applicable Washington State Law</w:t>
            </w:r>
            <w:r>
              <w:rPr>
                <w:noProof/>
                <w:webHidden/>
              </w:rPr>
              <w:tab/>
            </w:r>
            <w:r>
              <w:rPr>
                <w:noProof/>
                <w:webHidden/>
              </w:rPr>
              <w:fldChar w:fldCharType="begin"/>
            </w:r>
            <w:r>
              <w:rPr>
                <w:noProof/>
                <w:webHidden/>
              </w:rPr>
              <w:instrText xml:space="preserve"> PAGEREF _Toc220002718 \h </w:instrText>
            </w:r>
            <w:r>
              <w:rPr>
                <w:noProof/>
                <w:webHidden/>
              </w:rPr>
            </w:r>
            <w:r>
              <w:rPr>
                <w:noProof/>
                <w:webHidden/>
              </w:rPr>
              <w:fldChar w:fldCharType="separate"/>
            </w:r>
            <w:r>
              <w:rPr>
                <w:noProof/>
                <w:webHidden/>
              </w:rPr>
              <w:t>7</w:t>
            </w:r>
            <w:r>
              <w:rPr>
                <w:noProof/>
                <w:webHidden/>
              </w:rPr>
              <w:fldChar w:fldCharType="end"/>
            </w:r>
          </w:hyperlink>
        </w:p>
        <w:p w14:paraId="106C4D92" w14:textId="04A51E5F" w:rsidR="002A7A46" w:rsidRDefault="002A7A46">
          <w:pPr>
            <w:pStyle w:val="TOC1"/>
            <w:tabs>
              <w:tab w:val="left" w:pos="799"/>
              <w:tab w:val="right" w:leader="dot" w:pos="10070"/>
            </w:tabs>
            <w:rPr>
              <w:rFonts w:asciiTheme="minorHAnsi" w:eastAsiaTheme="minorEastAsia" w:hAnsiTheme="minorHAnsi" w:cstheme="minorBidi"/>
              <w:noProof/>
              <w:kern w:val="2"/>
              <w:sz w:val="24"/>
              <w:szCs w:val="24"/>
              <w14:ligatures w14:val="standardContextual"/>
            </w:rPr>
          </w:pPr>
          <w:hyperlink w:anchor="_Toc220002719" w:history="1">
            <w:r w:rsidRPr="009A14BA">
              <w:rPr>
                <w:rStyle w:val="Hyperlink"/>
                <w:noProof/>
                <w:w w:val="99"/>
              </w:rPr>
              <w:t>4</w:t>
            </w:r>
            <w:r>
              <w:rPr>
                <w:rFonts w:asciiTheme="minorHAnsi" w:eastAsiaTheme="minorEastAsia" w:hAnsiTheme="minorHAnsi" w:cstheme="minorBidi"/>
                <w:noProof/>
                <w:kern w:val="2"/>
                <w:sz w:val="24"/>
                <w:szCs w:val="24"/>
                <w14:ligatures w14:val="standardContextual"/>
              </w:rPr>
              <w:tab/>
            </w:r>
            <w:r w:rsidRPr="009A14BA">
              <w:rPr>
                <w:rStyle w:val="Hyperlink"/>
                <w:noProof/>
              </w:rPr>
              <w:t>Discussion and Chronology</w:t>
            </w:r>
            <w:r>
              <w:rPr>
                <w:noProof/>
                <w:webHidden/>
              </w:rPr>
              <w:tab/>
            </w:r>
            <w:r>
              <w:rPr>
                <w:noProof/>
                <w:webHidden/>
              </w:rPr>
              <w:fldChar w:fldCharType="begin"/>
            </w:r>
            <w:r>
              <w:rPr>
                <w:noProof/>
                <w:webHidden/>
              </w:rPr>
              <w:instrText xml:space="preserve"> PAGEREF _Toc220002719 \h </w:instrText>
            </w:r>
            <w:r>
              <w:rPr>
                <w:noProof/>
                <w:webHidden/>
              </w:rPr>
            </w:r>
            <w:r>
              <w:rPr>
                <w:noProof/>
                <w:webHidden/>
              </w:rPr>
              <w:fldChar w:fldCharType="separate"/>
            </w:r>
            <w:r>
              <w:rPr>
                <w:noProof/>
                <w:webHidden/>
              </w:rPr>
              <w:t>9</w:t>
            </w:r>
            <w:r>
              <w:rPr>
                <w:noProof/>
                <w:webHidden/>
              </w:rPr>
              <w:fldChar w:fldCharType="end"/>
            </w:r>
          </w:hyperlink>
        </w:p>
        <w:p w14:paraId="25E889FF" w14:textId="6387CDD6" w:rsidR="002A7A46" w:rsidRDefault="002A7A46">
          <w:pPr>
            <w:pStyle w:val="TOC1"/>
            <w:tabs>
              <w:tab w:val="left" w:pos="799"/>
              <w:tab w:val="right" w:leader="dot" w:pos="10070"/>
            </w:tabs>
            <w:rPr>
              <w:rFonts w:asciiTheme="minorHAnsi" w:eastAsiaTheme="minorEastAsia" w:hAnsiTheme="minorHAnsi" w:cstheme="minorBidi"/>
              <w:noProof/>
              <w:kern w:val="2"/>
              <w:sz w:val="24"/>
              <w:szCs w:val="24"/>
              <w14:ligatures w14:val="standardContextual"/>
            </w:rPr>
          </w:pPr>
          <w:hyperlink w:anchor="_Toc220002720" w:history="1">
            <w:r w:rsidRPr="009A14BA">
              <w:rPr>
                <w:rStyle w:val="Hyperlink"/>
                <w:noProof/>
                <w:w w:val="99"/>
              </w:rPr>
              <w:t>5</w:t>
            </w:r>
            <w:r>
              <w:rPr>
                <w:rFonts w:asciiTheme="minorHAnsi" w:eastAsiaTheme="minorEastAsia" w:hAnsiTheme="minorHAnsi" w:cstheme="minorBidi"/>
                <w:noProof/>
                <w:kern w:val="2"/>
                <w:sz w:val="24"/>
                <w:szCs w:val="24"/>
                <w14:ligatures w14:val="standardContextual"/>
              </w:rPr>
              <w:tab/>
            </w:r>
            <w:r w:rsidRPr="009A14BA">
              <w:rPr>
                <w:rStyle w:val="Hyperlink"/>
                <w:noProof/>
              </w:rPr>
              <w:t>Submittals and Exhibits</w:t>
            </w:r>
            <w:r>
              <w:rPr>
                <w:noProof/>
                <w:webHidden/>
              </w:rPr>
              <w:tab/>
            </w:r>
            <w:r>
              <w:rPr>
                <w:noProof/>
                <w:webHidden/>
              </w:rPr>
              <w:fldChar w:fldCharType="begin"/>
            </w:r>
            <w:r>
              <w:rPr>
                <w:noProof/>
                <w:webHidden/>
              </w:rPr>
              <w:instrText xml:space="preserve"> PAGEREF _Toc220002720 \h </w:instrText>
            </w:r>
            <w:r>
              <w:rPr>
                <w:noProof/>
                <w:webHidden/>
              </w:rPr>
            </w:r>
            <w:r>
              <w:rPr>
                <w:noProof/>
                <w:webHidden/>
              </w:rPr>
              <w:fldChar w:fldCharType="separate"/>
            </w:r>
            <w:r>
              <w:rPr>
                <w:noProof/>
                <w:webHidden/>
              </w:rPr>
              <w:t>12</w:t>
            </w:r>
            <w:r>
              <w:rPr>
                <w:noProof/>
                <w:webHidden/>
              </w:rPr>
              <w:fldChar w:fldCharType="end"/>
            </w:r>
          </w:hyperlink>
        </w:p>
        <w:p w14:paraId="6502B8B4" w14:textId="0493C8A9" w:rsidR="002A7A46" w:rsidRDefault="002A7A46">
          <w:pPr>
            <w:pStyle w:val="TOC1"/>
            <w:tabs>
              <w:tab w:val="left" w:pos="799"/>
              <w:tab w:val="right" w:leader="dot" w:pos="10070"/>
            </w:tabs>
            <w:rPr>
              <w:rFonts w:asciiTheme="minorHAnsi" w:eastAsiaTheme="minorEastAsia" w:hAnsiTheme="minorHAnsi" w:cstheme="minorBidi"/>
              <w:noProof/>
              <w:kern w:val="2"/>
              <w:sz w:val="24"/>
              <w:szCs w:val="24"/>
              <w14:ligatures w14:val="standardContextual"/>
            </w:rPr>
          </w:pPr>
          <w:hyperlink w:anchor="_Toc220002721" w:history="1">
            <w:r w:rsidRPr="009A14BA">
              <w:rPr>
                <w:rStyle w:val="Hyperlink"/>
                <w:noProof/>
                <w:w w:val="99"/>
              </w:rPr>
              <w:t>6</w:t>
            </w:r>
            <w:r>
              <w:rPr>
                <w:rFonts w:asciiTheme="minorHAnsi" w:eastAsiaTheme="minorEastAsia" w:hAnsiTheme="minorHAnsi" w:cstheme="minorBidi"/>
                <w:noProof/>
                <w:kern w:val="2"/>
                <w:sz w:val="24"/>
                <w:szCs w:val="24"/>
                <w14:ligatures w14:val="standardContextual"/>
              </w:rPr>
              <w:tab/>
            </w:r>
            <w:r w:rsidRPr="009A14BA">
              <w:rPr>
                <w:rStyle w:val="Hyperlink"/>
                <w:noProof/>
              </w:rPr>
              <w:t>WSDOT Position</w:t>
            </w:r>
            <w:r>
              <w:rPr>
                <w:noProof/>
                <w:webHidden/>
              </w:rPr>
              <w:tab/>
            </w:r>
            <w:r>
              <w:rPr>
                <w:noProof/>
                <w:webHidden/>
              </w:rPr>
              <w:fldChar w:fldCharType="begin"/>
            </w:r>
            <w:r>
              <w:rPr>
                <w:noProof/>
                <w:webHidden/>
              </w:rPr>
              <w:instrText xml:space="preserve"> PAGEREF _Toc220002721 \h </w:instrText>
            </w:r>
            <w:r>
              <w:rPr>
                <w:noProof/>
                <w:webHidden/>
              </w:rPr>
            </w:r>
            <w:r>
              <w:rPr>
                <w:noProof/>
                <w:webHidden/>
              </w:rPr>
              <w:fldChar w:fldCharType="separate"/>
            </w:r>
            <w:r>
              <w:rPr>
                <w:noProof/>
                <w:webHidden/>
              </w:rPr>
              <w:t>13</w:t>
            </w:r>
            <w:r>
              <w:rPr>
                <w:noProof/>
                <w:webHidden/>
              </w:rPr>
              <w:fldChar w:fldCharType="end"/>
            </w:r>
          </w:hyperlink>
        </w:p>
        <w:p w14:paraId="3474ACA8" w14:textId="088F674E" w:rsidR="002A7A46" w:rsidRDefault="002A7A46">
          <w:pPr>
            <w:pStyle w:val="TOC2"/>
            <w:tabs>
              <w:tab w:val="left" w:pos="1319"/>
              <w:tab w:val="right" w:leader="dot" w:pos="10070"/>
            </w:tabs>
            <w:rPr>
              <w:rFonts w:asciiTheme="minorHAnsi" w:eastAsiaTheme="minorEastAsia" w:hAnsiTheme="minorHAnsi" w:cstheme="minorBidi"/>
              <w:noProof/>
              <w:kern w:val="2"/>
              <w:sz w:val="24"/>
              <w:szCs w:val="24"/>
              <w14:ligatures w14:val="standardContextual"/>
            </w:rPr>
          </w:pPr>
          <w:hyperlink w:anchor="_Toc220002722" w:history="1">
            <w:r w:rsidRPr="009A14BA">
              <w:rPr>
                <w:rStyle w:val="Hyperlink"/>
                <w:noProof/>
                <w:spacing w:val="-1"/>
                <w:w w:val="99"/>
              </w:rPr>
              <w:t>6.1</w:t>
            </w:r>
            <w:r>
              <w:rPr>
                <w:rFonts w:asciiTheme="minorHAnsi" w:eastAsiaTheme="minorEastAsia" w:hAnsiTheme="minorHAnsi" w:cstheme="minorBidi"/>
                <w:noProof/>
                <w:kern w:val="2"/>
                <w:sz w:val="24"/>
                <w:szCs w:val="24"/>
                <w14:ligatures w14:val="standardContextual"/>
              </w:rPr>
              <w:tab/>
            </w:r>
            <w:r w:rsidRPr="009A14BA">
              <w:rPr>
                <w:rStyle w:val="Hyperlink"/>
                <w:noProof/>
              </w:rPr>
              <w:t>Entitlement and reliance on Reference Documents</w:t>
            </w:r>
            <w:r>
              <w:rPr>
                <w:noProof/>
                <w:webHidden/>
              </w:rPr>
              <w:tab/>
            </w:r>
            <w:r>
              <w:rPr>
                <w:noProof/>
                <w:webHidden/>
              </w:rPr>
              <w:fldChar w:fldCharType="begin"/>
            </w:r>
            <w:r>
              <w:rPr>
                <w:noProof/>
                <w:webHidden/>
              </w:rPr>
              <w:instrText xml:space="preserve"> PAGEREF _Toc220002722 \h </w:instrText>
            </w:r>
            <w:r>
              <w:rPr>
                <w:noProof/>
                <w:webHidden/>
              </w:rPr>
            </w:r>
            <w:r>
              <w:rPr>
                <w:noProof/>
                <w:webHidden/>
              </w:rPr>
              <w:fldChar w:fldCharType="separate"/>
            </w:r>
            <w:r>
              <w:rPr>
                <w:noProof/>
                <w:webHidden/>
              </w:rPr>
              <w:t>13</w:t>
            </w:r>
            <w:r>
              <w:rPr>
                <w:noProof/>
                <w:webHidden/>
              </w:rPr>
              <w:fldChar w:fldCharType="end"/>
            </w:r>
          </w:hyperlink>
        </w:p>
        <w:p w14:paraId="7B1065A5" w14:textId="05706FCE" w:rsidR="002A7A46" w:rsidRDefault="002A7A46">
          <w:pPr>
            <w:pStyle w:val="TOC2"/>
            <w:tabs>
              <w:tab w:val="left" w:pos="1319"/>
              <w:tab w:val="right" w:leader="dot" w:pos="10070"/>
            </w:tabs>
            <w:rPr>
              <w:rFonts w:asciiTheme="minorHAnsi" w:eastAsiaTheme="minorEastAsia" w:hAnsiTheme="minorHAnsi" w:cstheme="minorBidi"/>
              <w:noProof/>
              <w:kern w:val="2"/>
              <w:sz w:val="24"/>
              <w:szCs w:val="24"/>
              <w14:ligatures w14:val="standardContextual"/>
            </w:rPr>
          </w:pPr>
          <w:hyperlink w:anchor="_Toc220002723" w:history="1">
            <w:r w:rsidRPr="009A14BA">
              <w:rPr>
                <w:rStyle w:val="Hyperlink"/>
                <w:noProof/>
                <w:spacing w:val="-1"/>
                <w:w w:val="99"/>
              </w:rPr>
              <w:t>6.2</w:t>
            </w:r>
            <w:r>
              <w:rPr>
                <w:rFonts w:asciiTheme="minorHAnsi" w:eastAsiaTheme="minorEastAsia" w:hAnsiTheme="minorHAnsi" w:cstheme="minorBidi"/>
                <w:noProof/>
                <w:kern w:val="2"/>
                <w:sz w:val="24"/>
                <w:szCs w:val="24"/>
                <w14:ligatures w14:val="standardContextual"/>
              </w:rPr>
              <w:tab/>
            </w:r>
            <w:r w:rsidRPr="009A14BA">
              <w:rPr>
                <w:rStyle w:val="Hyperlink"/>
                <w:noProof/>
              </w:rPr>
              <w:t>Limited maintenance/cleanout compensation (Feb 3-13, 2025)</w:t>
            </w:r>
            <w:r>
              <w:rPr>
                <w:noProof/>
                <w:webHidden/>
              </w:rPr>
              <w:tab/>
            </w:r>
            <w:r>
              <w:rPr>
                <w:noProof/>
                <w:webHidden/>
              </w:rPr>
              <w:fldChar w:fldCharType="begin"/>
            </w:r>
            <w:r>
              <w:rPr>
                <w:noProof/>
                <w:webHidden/>
              </w:rPr>
              <w:instrText xml:space="preserve"> PAGEREF _Toc220002723 \h </w:instrText>
            </w:r>
            <w:r>
              <w:rPr>
                <w:noProof/>
                <w:webHidden/>
              </w:rPr>
            </w:r>
            <w:r>
              <w:rPr>
                <w:noProof/>
                <w:webHidden/>
              </w:rPr>
              <w:fldChar w:fldCharType="separate"/>
            </w:r>
            <w:r>
              <w:rPr>
                <w:noProof/>
                <w:webHidden/>
              </w:rPr>
              <w:t>13</w:t>
            </w:r>
            <w:r>
              <w:rPr>
                <w:noProof/>
                <w:webHidden/>
              </w:rPr>
              <w:fldChar w:fldCharType="end"/>
            </w:r>
          </w:hyperlink>
        </w:p>
        <w:p w14:paraId="3F18691F" w14:textId="0743A8B9" w:rsidR="002A7A46" w:rsidRDefault="002A7A46">
          <w:pPr>
            <w:pStyle w:val="TOC2"/>
            <w:tabs>
              <w:tab w:val="left" w:pos="1319"/>
              <w:tab w:val="right" w:leader="dot" w:pos="10070"/>
            </w:tabs>
            <w:rPr>
              <w:rFonts w:asciiTheme="minorHAnsi" w:eastAsiaTheme="minorEastAsia" w:hAnsiTheme="minorHAnsi" w:cstheme="minorBidi"/>
              <w:noProof/>
              <w:kern w:val="2"/>
              <w:sz w:val="24"/>
              <w:szCs w:val="24"/>
              <w14:ligatures w14:val="standardContextual"/>
            </w:rPr>
          </w:pPr>
          <w:hyperlink w:anchor="_Toc220002724" w:history="1">
            <w:r w:rsidRPr="009A14BA">
              <w:rPr>
                <w:rStyle w:val="Hyperlink"/>
                <w:noProof/>
                <w:spacing w:val="-1"/>
                <w:w w:val="99"/>
              </w:rPr>
              <w:t>6.3</w:t>
            </w:r>
            <w:r>
              <w:rPr>
                <w:rFonts w:asciiTheme="minorHAnsi" w:eastAsiaTheme="minorEastAsia" w:hAnsiTheme="minorHAnsi" w:cstheme="minorBidi"/>
                <w:noProof/>
                <w:kern w:val="2"/>
                <w:sz w:val="24"/>
                <w:szCs w:val="24"/>
                <w14:ligatures w14:val="standardContextual"/>
              </w:rPr>
              <w:tab/>
            </w:r>
            <w:r w:rsidRPr="009A14BA">
              <w:rPr>
                <w:rStyle w:val="Hyperlink"/>
                <w:noProof/>
              </w:rPr>
              <w:t>Scope delineation: maintenance vs. enhancements and design responsibilities</w:t>
            </w:r>
            <w:r>
              <w:rPr>
                <w:noProof/>
                <w:webHidden/>
              </w:rPr>
              <w:tab/>
            </w:r>
            <w:r>
              <w:rPr>
                <w:noProof/>
                <w:webHidden/>
              </w:rPr>
              <w:fldChar w:fldCharType="begin"/>
            </w:r>
            <w:r>
              <w:rPr>
                <w:noProof/>
                <w:webHidden/>
              </w:rPr>
              <w:instrText xml:space="preserve"> PAGEREF _Toc220002724 \h </w:instrText>
            </w:r>
            <w:r>
              <w:rPr>
                <w:noProof/>
                <w:webHidden/>
              </w:rPr>
            </w:r>
            <w:r>
              <w:rPr>
                <w:noProof/>
                <w:webHidden/>
              </w:rPr>
              <w:fldChar w:fldCharType="separate"/>
            </w:r>
            <w:r>
              <w:rPr>
                <w:noProof/>
                <w:webHidden/>
              </w:rPr>
              <w:t>14</w:t>
            </w:r>
            <w:r>
              <w:rPr>
                <w:noProof/>
                <w:webHidden/>
              </w:rPr>
              <w:fldChar w:fldCharType="end"/>
            </w:r>
          </w:hyperlink>
        </w:p>
        <w:p w14:paraId="26859F9B" w14:textId="7616C57D" w:rsidR="002A7A46" w:rsidRDefault="002A7A46">
          <w:pPr>
            <w:pStyle w:val="TOC2"/>
            <w:tabs>
              <w:tab w:val="left" w:pos="1319"/>
              <w:tab w:val="right" w:leader="dot" w:pos="10070"/>
            </w:tabs>
            <w:rPr>
              <w:rFonts w:asciiTheme="minorHAnsi" w:eastAsiaTheme="minorEastAsia" w:hAnsiTheme="minorHAnsi" w:cstheme="minorBidi"/>
              <w:noProof/>
              <w:kern w:val="2"/>
              <w:sz w:val="24"/>
              <w:szCs w:val="24"/>
              <w14:ligatures w14:val="standardContextual"/>
            </w:rPr>
          </w:pPr>
          <w:hyperlink w:anchor="_Toc220002725" w:history="1">
            <w:r w:rsidRPr="009A14BA">
              <w:rPr>
                <w:rStyle w:val="Hyperlink"/>
                <w:noProof/>
                <w:spacing w:val="-1"/>
                <w:w w:val="99"/>
              </w:rPr>
              <w:t>6.4</w:t>
            </w:r>
            <w:r>
              <w:rPr>
                <w:rFonts w:asciiTheme="minorHAnsi" w:eastAsiaTheme="minorEastAsia" w:hAnsiTheme="minorHAnsi" w:cstheme="minorBidi"/>
                <w:noProof/>
                <w:kern w:val="2"/>
                <w:sz w:val="24"/>
                <w:szCs w:val="24"/>
                <w14:ligatures w14:val="standardContextual"/>
              </w:rPr>
              <w:tab/>
            </w:r>
            <w:r w:rsidRPr="009A14BA">
              <w:rPr>
                <w:rStyle w:val="Hyperlink"/>
                <w:noProof/>
              </w:rPr>
              <w:t>Protest procedure compliance and waiver (GP 1</w:t>
            </w:r>
            <w:r w:rsidRPr="009A14BA">
              <w:rPr>
                <w:rStyle w:val="Hyperlink"/>
                <w:rFonts w:ascii="Cambria Math" w:hAnsi="Cambria Math" w:cs="Cambria Math"/>
                <w:noProof/>
              </w:rPr>
              <w:t>‑</w:t>
            </w:r>
            <w:r w:rsidRPr="009A14BA">
              <w:rPr>
                <w:rStyle w:val="Hyperlink"/>
                <w:noProof/>
              </w:rPr>
              <w:t>04.5)</w:t>
            </w:r>
            <w:r>
              <w:rPr>
                <w:noProof/>
                <w:webHidden/>
              </w:rPr>
              <w:tab/>
            </w:r>
            <w:r>
              <w:rPr>
                <w:noProof/>
                <w:webHidden/>
              </w:rPr>
              <w:fldChar w:fldCharType="begin"/>
            </w:r>
            <w:r>
              <w:rPr>
                <w:noProof/>
                <w:webHidden/>
              </w:rPr>
              <w:instrText xml:space="preserve"> PAGEREF _Toc220002725 \h </w:instrText>
            </w:r>
            <w:r>
              <w:rPr>
                <w:noProof/>
                <w:webHidden/>
              </w:rPr>
            </w:r>
            <w:r>
              <w:rPr>
                <w:noProof/>
                <w:webHidden/>
              </w:rPr>
              <w:fldChar w:fldCharType="separate"/>
            </w:r>
            <w:r>
              <w:rPr>
                <w:noProof/>
                <w:webHidden/>
              </w:rPr>
              <w:t>14</w:t>
            </w:r>
            <w:r>
              <w:rPr>
                <w:noProof/>
                <w:webHidden/>
              </w:rPr>
              <w:fldChar w:fldCharType="end"/>
            </w:r>
          </w:hyperlink>
        </w:p>
        <w:p w14:paraId="6F48D2E0" w14:textId="2AAB5838" w:rsidR="002A7A46" w:rsidRDefault="002A7A46">
          <w:pPr>
            <w:pStyle w:val="TOC2"/>
            <w:tabs>
              <w:tab w:val="left" w:pos="1319"/>
              <w:tab w:val="right" w:leader="dot" w:pos="10070"/>
            </w:tabs>
            <w:rPr>
              <w:rFonts w:asciiTheme="minorHAnsi" w:eastAsiaTheme="minorEastAsia" w:hAnsiTheme="minorHAnsi" w:cstheme="minorBidi"/>
              <w:noProof/>
              <w:kern w:val="2"/>
              <w:sz w:val="24"/>
              <w:szCs w:val="24"/>
              <w14:ligatures w14:val="standardContextual"/>
            </w:rPr>
          </w:pPr>
          <w:hyperlink w:anchor="_Toc220002726" w:history="1">
            <w:r w:rsidRPr="009A14BA">
              <w:rPr>
                <w:rStyle w:val="Hyperlink"/>
                <w:noProof/>
                <w:spacing w:val="-1"/>
                <w:w w:val="99"/>
              </w:rPr>
              <w:t>6.5</w:t>
            </w:r>
            <w:r>
              <w:rPr>
                <w:rFonts w:asciiTheme="minorHAnsi" w:eastAsiaTheme="minorEastAsia" w:hAnsiTheme="minorHAnsi" w:cstheme="minorBidi"/>
                <w:noProof/>
                <w:kern w:val="2"/>
                <w:sz w:val="24"/>
                <w:szCs w:val="24"/>
                <w14:ligatures w14:val="standardContextual"/>
              </w:rPr>
              <w:tab/>
            </w:r>
            <w:r w:rsidRPr="009A14BA">
              <w:rPr>
                <w:rStyle w:val="Hyperlink"/>
                <w:noProof/>
              </w:rPr>
              <w:t>Schedule, load rating, and design</w:t>
            </w:r>
            <w:r w:rsidRPr="009A14BA">
              <w:rPr>
                <w:rStyle w:val="Hyperlink"/>
                <w:rFonts w:ascii="Cambria Math" w:hAnsi="Cambria Math" w:cs="Cambria Math"/>
                <w:noProof/>
              </w:rPr>
              <w:t>‑</w:t>
            </w:r>
            <w:r w:rsidRPr="009A14BA">
              <w:rPr>
                <w:rStyle w:val="Hyperlink"/>
                <w:noProof/>
              </w:rPr>
              <w:t>builder responsibility (Sections 2.13.7.4, 1</w:t>
            </w:r>
            <w:r w:rsidRPr="009A14BA">
              <w:rPr>
                <w:rStyle w:val="Hyperlink"/>
                <w:rFonts w:ascii="Cambria Math" w:hAnsi="Cambria Math" w:cs="Cambria Math"/>
                <w:noProof/>
              </w:rPr>
              <w:t>‑</w:t>
            </w:r>
            <w:r w:rsidRPr="009A14BA">
              <w:rPr>
                <w:rStyle w:val="Hyperlink"/>
                <w:noProof/>
              </w:rPr>
              <w:t>08.6, 1</w:t>
            </w:r>
            <w:r w:rsidRPr="009A14BA">
              <w:rPr>
                <w:rStyle w:val="Hyperlink"/>
                <w:rFonts w:ascii="Cambria Math" w:hAnsi="Cambria Math" w:cs="Cambria Math"/>
                <w:noProof/>
              </w:rPr>
              <w:t>‑</w:t>
            </w:r>
            <w:r w:rsidRPr="009A14BA">
              <w:rPr>
                <w:rStyle w:val="Hyperlink"/>
                <w:noProof/>
              </w:rPr>
              <w:t>08.8)</w:t>
            </w:r>
            <w:r>
              <w:rPr>
                <w:noProof/>
                <w:webHidden/>
              </w:rPr>
              <w:tab/>
            </w:r>
            <w:r>
              <w:rPr>
                <w:noProof/>
                <w:webHidden/>
              </w:rPr>
              <w:fldChar w:fldCharType="begin"/>
            </w:r>
            <w:r>
              <w:rPr>
                <w:noProof/>
                <w:webHidden/>
              </w:rPr>
              <w:instrText xml:space="preserve"> PAGEREF _Toc220002726 \h </w:instrText>
            </w:r>
            <w:r>
              <w:rPr>
                <w:noProof/>
                <w:webHidden/>
              </w:rPr>
            </w:r>
            <w:r>
              <w:rPr>
                <w:noProof/>
                <w:webHidden/>
              </w:rPr>
              <w:fldChar w:fldCharType="separate"/>
            </w:r>
            <w:r>
              <w:rPr>
                <w:noProof/>
                <w:webHidden/>
              </w:rPr>
              <w:t>14</w:t>
            </w:r>
            <w:r>
              <w:rPr>
                <w:noProof/>
                <w:webHidden/>
              </w:rPr>
              <w:fldChar w:fldCharType="end"/>
            </w:r>
          </w:hyperlink>
        </w:p>
        <w:p w14:paraId="57CEC5D9" w14:textId="3F37F500" w:rsidR="002A7A46" w:rsidRDefault="002A7A46">
          <w:pPr>
            <w:pStyle w:val="TOC2"/>
            <w:tabs>
              <w:tab w:val="left" w:pos="1319"/>
              <w:tab w:val="right" w:leader="dot" w:pos="10070"/>
            </w:tabs>
            <w:rPr>
              <w:rFonts w:asciiTheme="minorHAnsi" w:eastAsiaTheme="minorEastAsia" w:hAnsiTheme="minorHAnsi" w:cstheme="minorBidi"/>
              <w:noProof/>
              <w:kern w:val="2"/>
              <w:sz w:val="24"/>
              <w:szCs w:val="24"/>
              <w14:ligatures w14:val="standardContextual"/>
            </w:rPr>
          </w:pPr>
          <w:hyperlink w:anchor="_Toc220002727" w:history="1">
            <w:r w:rsidRPr="009A14BA">
              <w:rPr>
                <w:rStyle w:val="Hyperlink"/>
                <w:noProof/>
                <w:spacing w:val="-1"/>
                <w:w w:val="99"/>
              </w:rPr>
              <w:t>6.6</w:t>
            </w:r>
            <w:r>
              <w:rPr>
                <w:rFonts w:asciiTheme="minorHAnsi" w:eastAsiaTheme="minorEastAsia" w:hAnsiTheme="minorHAnsi" w:cstheme="minorBidi"/>
                <w:noProof/>
                <w:kern w:val="2"/>
                <w:sz w:val="24"/>
                <w:szCs w:val="24"/>
                <w14:ligatures w14:val="standardContextual"/>
              </w:rPr>
              <w:tab/>
            </w:r>
            <w:r w:rsidRPr="009A14BA">
              <w:rPr>
                <w:rStyle w:val="Hyperlink"/>
                <w:noProof/>
              </w:rPr>
              <w:t>DRB path and limited remediation</w:t>
            </w:r>
            <w:r>
              <w:rPr>
                <w:noProof/>
                <w:webHidden/>
              </w:rPr>
              <w:tab/>
            </w:r>
            <w:r>
              <w:rPr>
                <w:noProof/>
                <w:webHidden/>
              </w:rPr>
              <w:fldChar w:fldCharType="begin"/>
            </w:r>
            <w:r>
              <w:rPr>
                <w:noProof/>
                <w:webHidden/>
              </w:rPr>
              <w:instrText xml:space="preserve"> PAGEREF _Toc220002727 \h </w:instrText>
            </w:r>
            <w:r>
              <w:rPr>
                <w:noProof/>
                <w:webHidden/>
              </w:rPr>
            </w:r>
            <w:r>
              <w:rPr>
                <w:noProof/>
                <w:webHidden/>
              </w:rPr>
              <w:fldChar w:fldCharType="separate"/>
            </w:r>
            <w:r>
              <w:rPr>
                <w:noProof/>
                <w:webHidden/>
              </w:rPr>
              <w:t>15</w:t>
            </w:r>
            <w:r>
              <w:rPr>
                <w:noProof/>
                <w:webHidden/>
              </w:rPr>
              <w:fldChar w:fldCharType="end"/>
            </w:r>
          </w:hyperlink>
        </w:p>
        <w:p w14:paraId="3288F405" w14:textId="13B0695C" w:rsidR="002A7A46" w:rsidRDefault="002A7A46">
          <w:pPr>
            <w:pStyle w:val="TOC2"/>
            <w:tabs>
              <w:tab w:val="left" w:pos="1319"/>
              <w:tab w:val="right" w:leader="dot" w:pos="10070"/>
            </w:tabs>
            <w:rPr>
              <w:rFonts w:asciiTheme="minorHAnsi" w:eastAsiaTheme="minorEastAsia" w:hAnsiTheme="minorHAnsi" w:cstheme="minorBidi"/>
              <w:noProof/>
              <w:kern w:val="2"/>
              <w:sz w:val="24"/>
              <w:szCs w:val="24"/>
              <w14:ligatures w14:val="standardContextual"/>
            </w:rPr>
          </w:pPr>
          <w:hyperlink w:anchor="_Toc220002728" w:history="1">
            <w:r w:rsidRPr="009A14BA">
              <w:rPr>
                <w:rStyle w:val="Hyperlink"/>
                <w:noProof/>
                <w:spacing w:val="-1"/>
                <w:w w:val="99"/>
              </w:rPr>
              <w:t>6.7</w:t>
            </w:r>
            <w:r>
              <w:rPr>
                <w:rFonts w:asciiTheme="minorHAnsi" w:eastAsiaTheme="minorEastAsia" w:hAnsiTheme="minorHAnsi" w:cstheme="minorBidi"/>
                <w:noProof/>
                <w:kern w:val="2"/>
                <w:sz w:val="24"/>
                <w:szCs w:val="24"/>
                <w14:ligatures w14:val="standardContextual"/>
              </w:rPr>
              <w:tab/>
            </w:r>
            <w:r w:rsidRPr="009A14BA">
              <w:rPr>
                <w:rStyle w:val="Hyperlink"/>
                <w:noProof/>
              </w:rPr>
              <w:t>Vault NW12 Classification as Highway Infrastructure, NOT Utility</w:t>
            </w:r>
            <w:r>
              <w:rPr>
                <w:noProof/>
                <w:webHidden/>
              </w:rPr>
              <w:tab/>
            </w:r>
            <w:r>
              <w:rPr>
                <w:noProof/>
                <w:webHidden/>
              </w:rPr>
              <w:fldChar w:fldCharType="begin"/>
            </w:r>
            <w:r>
              <w:rPr>
                <w:noProof/>
                <w:webHidden/>
              </w:rPr>
              <w:instrText xml:space="preserve"> PAGEREF _Toc220002728 \h </w:instrText>
            </w:r>
            <w:r>
              <w:rPr>
                <w:noProof/>
                <w:webHidden/>
              </w:rPr>
            </w:r>
            <w:r>
              <w:rPr>
                <w:noProof/>
                <w:webHidden/>
              </w:rPr>
              <w:fldChar w:fldCharType="separate"/>
            </w:r>
            <w:r>
              <w:rPr>
                <w:noProof/>
                <w:webHidden/>
              </w:rPr>
              <w:t>15</w:t>
            </w:r>
            <w:r>
              <w:rPr>
                <w:noProof/>
                <w:webHidden/>
              </w:rPr>
              <w:fldChar w:fldCharType="end"/>
            </w:r>
          </w:hyperlink>
        </w:p>
        <w:p w14:paraId="4B0623A8" w14:textId="6DC79482" w:rsidR="002A7A46" w:rsidRDefault="002A7A46">
          <w:pPr>
            <w:pStyle w:val="TOC1"/>
            <w:tabs>
              <w:tab w:val="left" w:pos="799"/>
              <w:tab w:val="right" w:leader="dot" w:pos="10070"/>
            </w:tabs>
            <w:rPr>
              <w:rFonts w:asciiTheme="minorHAnsi" w:eastAsiaTheme="minorEastAsia" w:hAnsiTheme="minorHAnsi" w:cstheme="minorBidi"/>
              <w:noProof/>
              <w:kern w:val="2"/>
              <w:sz w:val="24"/>
              <w:szCs w:val="24"/>
              <w14:ligatures w14:val="standardContextual"/>
            </w:rPr>
          </w:pPr>
          <w:hyperlink w:anchor="_Toc220002729" w:history="1">
            <w:r w:rsidRPr="009A14BA">
              <w:rPr>
                <w:rStyle w:val="Hyperlink"/>
                <w:noProof/>
                <w:w w:val="99"/>
              </w:rPr>
              <w:t>7</w:t>
            </w:r>
            <w:r>
              <w:rPr>
                <w:rFonts w:asciiTheme="minorHAnsi" w:eastAsiaTheme="minorEastAsia" w:hAnsiTheme="minorHAnsi" w:cstheme="minorBidi"/>
                <w:noProof/>
                <w:kern w:val="2"/>
                <w:sz w:val="24"/>
                <w:szCs w:val="24"/>
                <w14:ligatures w14:val="standardContextual"/>
              </w:rPr>
              <w:tab/>
            </w:r>
            <w:r w:rsidRPr="009A14BA">
              <w:rPr>
                <w:rStyle w:val="Hyperlink"/>
                <w:noProof/>
              </w:rPr>
              <w:t>Conclusion</w:t>
            </w:r>
            <w:r>
              <w:rPr>
                <w:noProof/>
                <w:webHidden/>
              </w:rPr>
              <w:tab/>
            </w:r>
            <w:r>
              <w:rPr>
                <w:noProof/>
                <w:webHidden/>
              </w:rPr>
              <w:fldChar w:fldCharType="begin"/>
            </w:r>
            <w:r>
              <w:rPr>
                <w:noProof/>
                <w:webHidden/>
              </w:rPr>
              <w:instrText xml:space="preserve"> PAGEREF _Toc220002729 \h </w:instrText>
            </w:r>
            <w:r>
              <w:rPr>
                <w:noProof/>
                <w:webHidden/>
              </w:rPr>
            </w:r>
            <w:r>
              <w:rPr>
                <w:noProof/>
                <w:webHidden/>
              </w:rPr>
              <w:fldChar w:fldCharType="separate"/>
            </w:r>
            <w:r>
              <w:rPr>
                <w:noProof/>
                <w:webHidden/>
              </w:rPr>
              <w:t>17</w:t>
            </w:r>
            <w:r>
              <w:rPr>
                <w:noProof/>
                <w:webHidden/>
              </w:rPr>
              <w:fldChar w:fldCharType="end"/>
            </w:r>
          </w:hyperlink>
        </w:p>
        <w:p w14:paraId="4592B494" w14:textId="39F5E0D1" w:rsidR="002A7A46" w:rsidRDefault="002A7A46">
          <w:pPr>
            <w:pStyle w:val="TOC1"/>
            <w:tabs>
              <w:tab w:val="left" w:pos="799"/>
              <w:tab w:val="right" w:leader="dot" w:pos="10070"/>
            </w:tabs>
            <w:rPr>
              <w:rFonts w:asciiTheme="minorHAnsi" w:eastAsiaTheme="minorEastAsia" w:hAnsiTheme="minorHAnsi" w:cstheme="minorBidi"/>
              <w:noProof/>
              <w:kern w:val="2"/>
              <w:sz w:val="24"/>
              <w:szCs w:val="24"/>
              <w14:ligatures w14:val="standardContextual"/>
            </w:rPr>
          </w:pPr>
          <w:hyperlink w:anchor="_Toc220002730" w:history="1">
            <w:r w:rsidRPr="009A14BA">
              <w:rPr>
                <w:rStyle w:val="Hyperlink"/>
                <w:noProof/>
                <w:w w:val="99"/>
              </w:rPr>
              <w:t>8</w:t>
            </w:r>
            <w:r>
              <w:rPr>
                <w:rFonts w:asciiTheme="minorHAnsi" w:eastAsiaTheme="minorEastAsia" w:hAnsiTheme="minorHAnsi" w:cstheme="minorBidi"/>
                <w:noProof/>
                <w:kern w:val="2"/>
                <w:sz w:val="24"/>
                <w:szCs w:val="24"/>
                <w14:ligatures w14:val="standardContextual"/>
              </w:rPr>
              <w:tab/>
            </w:r>
            <w:r w:rsidRPr="009A14BA">
              <w:rPr>
                <w:rStyle w:val="Hyperlink"/>
                <w:noProof/>
              </w:rPr>
              <w:t>Recommendations Sought From the DRB</w:t>
            </w:r>
            <w:r>
              <w:rPr>
                <w:noProof/>
                <w:webHidden/>
              </w:rPr>
              <w:tab/>
            </w:r>
            <w:r>
              <w:rPr>
                <w:noProof/>
                <w:webHidden/>
              </w:rPr>
              <w:fldChar w:fldCharType="begin"/>
            </w:r>
            <w:r>
              <w:rPr>
                <w:noProof/>
                <w:webHidden/>
              </w:rPr>
              <w:instrText xml:space="preserve"> PAGEREF _Toc220002730 \h </w:instrText>
            </w:r>
            <w:r>
              <w:rPr>
                <w:noProof/>
                <w:webHidden/>
              </w:rPr>
            </w:r>
            <w:r>
              <w:rPr>
                <w:noProof/>
                <w:webHidden/>
              </w:rPr>
              <w:fldChar w:fldCharType="separate"/>
            </w:r>
            <w:r>
              <w:rPr>
                <w:noProof/>
                <w:webHidden/>
              </w:rPr>
              <w:t>18</w:t>
            </w:r>
            <w:r>
              <w:rPr>
                <w:noProof/>
                <w:webHidden/>
              </w:rPr>
              <w:fldChar w:fldCharType="end"/>
            </w:r>
          </w:hyperlink>
        </w:p>
        <w:p w14:paraId="282675B9" w14:textId="31C54736" w:rsidR="002A7A46" w:rsidRDefault="002A7A46">
          <w:pPr>
            <w:pStyle w:val="TOC2"/>
            <w:tabs>
              <w:tab w:val="left" w:pos="1319"/>
              <w:tab w:val="right" w:leader="dot" w:pos="10070"/>
            </w:tabs>
            <w:rPr>
              <w:rFonts w:asciiTheme="minorHAnsi" w:eastAsiaTheme="minorEastAsia" w:hAnsiTheme="minorHAnsi" w:cstheme="minorBidi"/>
              <w:noProof/>
              <w:kern w:val="2"/>
              <w:sz w:val="24"/>
              <w:szCs w:val="24"/>
              <w14:ligatures w14:val="standardContextual"/>
            </w:rPr>
          </w:pPr>
          <w:hyperlink w:anchor="_Toc220002731" w:history="1">
            <w:r w:rsidRPr="009A14BA">
              <w:rPr>
                <w:rStyle w:val="Hyperlink"/>
                <w:noProof/>
                <w:spacing w:val="-1"/>
                <w:w w:val="99"/>
              </w:rPr>
              <w:t>8.1</w:t>
            </w:r>
            <w:r>
              <w:rPr>
                <w:rFonts w:asciiTheme="minorHAnsi" w:eastAsiaTheme="minorEastAsia" w:hAnsiTheme="minorHAnsi" w:cstheme="minorBidi"/>
                <w:noProof/>
                <w:kern w:val="2"/>
                <w:sz w:val="24"/>
                <w:szCs w:val="24"/>
                <w14:ligatures w14:val="standardContextual"/>
              </w:rPr>
              <w:tab/>
            </w:r>
            <w:r w:rsidRPr="009A14BA">
              <w:rPr>
                <w:rStyle w:val="Hyperlink"/>
                <w:noProof/>
              </w:rPr>
              <w:t>Reference Documents and entitlement (GP 1</w:t>
            </w:r>
            <w:r w:rsidRPr="009A14BA">
              <w:rPr>
                <w:rStyle w:val="Hyperlink"/>
                <w:rFonts w:ascii="Cambria Math" w:hAnsi="Cambria Math" w:cs="Cambria Math"/>
                <w:noProof/>
              </w:rPr>
              <w:t>‑</w:t>
            </w:r>
            <w:r w:rsidRPr="009A14BA">
              <w:rPr>
                <w:rStyle w:val="Hyperlink"/>
                <w:noProof/>
              </w:rPr>
              <w:t>01.3, GP 1</w:t>
            </w:r>
            <w:r w:rsidRPr="009A14BA">
              <w:rPr>
                <w:rStyle w:val="Hyperlink"/>
                <w:rFonts w:ascii="Cambria Math" w:hAnsi="Cambria Math" w:cs="Cambria Math"/>
                <w:noProof/>
              </w:rPr>
              <w:t>‑</w:t>
            </w:r>
            <w:r w:rsidRPr="009A14BA">
              <w:rPr>
                <w:rStyle w:val="Hyperlink"/>
                <w:noProof/>
              </w:rPr>
              <w:t>02.2, TR 2.5.3.1)</w:t>
            </w:r>
            <w:r>
              <w:rPr>
                <w:noProof/>
                <w:webHidden/>
              </w:rPr>
              <w:tab/>
            </w:r>
            <w:r>
              <w:rPr>
                <w:noProof/>
                <w:webHidden/>
              </w:rPr>
              <w:fldChar w:fldCharType="begin"/>
            </w:r>
            <w:r>
              <w:rPr>
                <w:noProof/>
                <w:webHidden/>
              </w:rPr>
              <w:instrText xml:space="preserve"> PAGEREF _Toc220002731 \h </w:instrText>
            </w:r>
            <w:r>
              <w:rPr>
                <w:noProof/>
                <w:webHidden/>
              </w:rPr>
            </w:r>
            <w:r>
              <w:rPr>
                <w:noProof/>
                <w:webHidden/>
              </w:rPr>
              <w:fldChar w:fldCharType="separate"/>
            </w:r>
            <w:r>
              <w:rPr>
                <w:noProof/>
                <w:webHidden/>
              </w:rPr>
              <w:t>18</w:t>
            </w:r>
            <w:r>
              <w:rPr>
                <w:noProof/>
                <w:webHidden/>
              </w:rPr>
              <w:fldChar w:fldCharType="end"/>
            </w:r>
          </w:hyperlink>
        </w:p>
        <w:p w14:paraId="667EF985" w14:textId="3E9C1404" w:rsidR="002A7A46" w:rsidRDefault="002A7A46">
          <w:pPr>
            <w:pStyle w:val="TOC2"/>
            <w:tabs>
              <w:tab w:val="left" w:pos="1319"/>
              <w:tab w:val="right" w:leader="dot" w:pos="10070"/>
            </w:tabs>
            <w:rPr>
              <w:rFonts w:asciiTheme="minorHAnsi" w:eastAsiaTheme="minorEastAsia" w:hAnsiTheme="minorHAnsi" w:cstheme="minorBidi"/>
              <w:noProof/>
              <w:kern w:val="2"/>
              <w:sz w:val="24"/>
              <w:szCs w:val="24"/>
              <w14:ligatures w14:val="standardContextual"/>
            </w:rPr>
          </w:pPr>
          <w:hyperlink w:anchor="_Toc220002732" w:history="1">
            <w:r w:rsidRPr="009A14BA">
              <w:rPr>
                <w:rStyle w:val="Hyperlink"/>
                <w:noProof/>
                <w:spacing w:val="-1"/>
                <w:w w:val="99"/>
              </w:rPr>
              <w:t>8.2</w:t>
            </w:r>
            <w:r>
              <w:rPr>
                <w:rFonts w:asciiTheme="minorHAnsi" w:eastAsiaTheme="minorEastAsia" w:hAnsiTheme="minorHAnsi" w:cstheme="minorBidi"/>
                <w:noProof/>
                <w:kern w:val="2"/>
                <w:sz w:val="24"/>
                <w:szCs w:val="24"/>
                <w14:ligatures w14:val="standardContextual"/>
              </w:rPr>
              <w:tab/>
            </w:r>
            <w:r w:rsidRPr="009A14BA">
              <w:rPr>
                <w:rStyle w:val="Hyperlink"/>
                <w:noProof/>
              </w:rPr>
              <w:t>Interim works as design/means and methods (TR 2.22.1, TR 2.14.5.6)</w:t>
            </w:r>
            <w:r>
              <w:rPr>
                <w:noProof/>
                <w:webHidden/>
              </w:rPr>
              <w:tab/>
            </w:r>
            <w:r>
              <w:rPr>
                <w:noProof/>
                <w:webHidden/>
              </w:rPr>
              <w:fldChar w:fldCharType="begin"/>
            </w:r>
            <w:r>
              <w:rPr>
                <w:noProof/>
                <w:webHidden/>
              </w:rPr>
              <w:instrText xml:space="preserve"> PAGEREF _Toc220002732 \h </w:instrText>
            </w:r>
            <w:r>
              <w:rPr>
                <w:noProof/>
                <w:webHidden/>
              </w:rPr>
            </w:r>
            <w:r>
              <w:rPr>
                <w:noProof/>
                <w:webHidden/>
              </w:rPr>
              <w:fldChar w:fldCharType="separate"/>
            </w:r>
            <w:r>
              <w:rPr>
                <w:noProof/>
                <w:webHidden/>
              </w:rPr>
              <w:t>18</w:t>
            </w:r>
            <w:r>
              <w:rPr>
                <w:noProof/>
                <w:webHidden/>
              </w:rPr>
              <w:fldChar w:fldCharType="end"/>
            </w:r>
          </w:hyperlink>
        </w:p>
        <w:p w14:paraId="30374FD0" w14:textId="3A65AC10" w:rsidR="002A7A46" w:rsidRDefault="002A7A46">
          <w:pPr>
            <w:pStyle w:val="TOC2"/>
            <w:tabs>
              <w:tab w:val="left" w:pos="1319"/>
              <w:tab w:val="right" w:leader="dot" w:pos="10070"/>
            </w:tabs>
            <w:rPr>
              <w:rFonts w:asciiTheme="minorHAnsi" w:eastAsiaTheme="minorEastAsia" w:hAnsiTheme="minorHAnsi" w:cstheme="minorBidi"/>
              <w:noProof/>
              <w:kern w:val="2"/>
              <w:sz w:val="24"/>
              <w:szCs w:val="24"/>
              <w14:ligatures w14:val="standardContextual"/>
            </w:rPr>
          </w:pPr>
          <w:hyperlink w:anchor="_Toc220002733" w:history="1">
            <w:r w:rsidRPr="009A14BA">
              <w:rPr>
                <w:rStyle w:val="Hyperlink"/>
                <w:noProof/>
                <w:spacing w:val="-1"/>
                <w:w w:val="99"/>
              </w:rPr>
              <w:t>8.3</w:t>
            </w:r>
            <w:r>
              <w:rPr>
                <w:rFonts w:asciiTheme="minorHAnsi" w:eastAsiaTheme="minorEastAsia" w:hAnsiTheme="minorHAnsi" w:cstheme="minorBidi"/>
                <w:noProof/>
                <w:kern w:val="2"/>
                <w:sz w:val="24"/>
                <w:szCs w:val="24"/>
                <w14:ligatures w14:val="standardContextual"/>
              </w:rPr>
              <w:tab/>
            </w:r>
            <w:r w:rsidRPr="009A14BA">
              <w:rPr>
                <w:rStyle w:val="Hyperlink"/>
                <w:noProof/>
              </w:rPr>
              <w:t>Load Rating Report timing and schedule relief (TR 2.13.7.4, GP 1</w:t>
            </w:r>
            <w:r w:rsidRPr="009A14BA">
              <w:rPr>
                <w:rStyle w:val="Hyperlink"/>
                <w:rFonts w:ascii="Cambria Math" w:hAnsi="Cambria Math" w:cs="Cambria Math"/>
                <w:noProof/>
              </w:rPr>
              <w:t>‑</w:t>
            </w:r>
            <w:r w:rsidRPr="009A14BA">
              <w:rPr>
                <w:rStyle w:val="Hyperlink"/>
                <w:noProof/>
              </w:rPr>
              <w:t>08.6, GP 1</w:t>
            </w:r>
            <w:r w:rsidRPr="009A14BA">
              <w:rPr>
                <w:rStyle w:val="Hyperlink"/>
                <w:rFonts w:ascii="Cambria Math" w:hAnsi="Cambria Math" w:cs="Cambria Math"/>
                <w:noProof/>
              </w:rPr>
              <w:t>‑</w:t>
            </w:r>
            <w:r w:rsidRPr="009A14BA">
              <w:rPr>
                <w:rStyle w:val="Hyperlink"/>
                <w:noProof/>
              </w:rPr>
              <w:t>08.8)</w:t>
            </w:r>
            <w:r>
              <w:rPr>
                <w:noProof/>
                <w:webHidden/>
              </w:rPr>
              <w:tab/>
            </w:r>
            <w:r>
              <w:rPr>
                <w:noProof/>
                <w:webHidden/>
              </w:rPr>
              <w:fldChar w:fldCharType="begin"/>
            </w:r>
            <w:r>
              <w:rPr>
                <w:noProof/>
                <w:webHidden/>
              </w:rPr>
              <w:instrText xml:space="preserve"> PAGEREF _Toc220002733 \h </w:instrText>
            </w:r>
            <w:r>
              <w:rPr>
                <w:noProof/>
                <w:webHidden/>
              </w:rPr>
            </w:r>
            <w:r>
              <w:rPr>
                <w:noProof/>
                <w:webHidden/>
              </w:rPr>
              <w:fldChar w:fldCharType="separate"/>
            </w:r>
            <w:r>
              <w:rPr>
                <w:noProof/>
                <w:webHidden/>
              </w:rPr>
              <w:t>18</w:t>
            </w:r>
            <w:r>
              <w:rPr>
                <w:noProof/>
                <w:webHidden/>
              </w:rPr>
              <w:fldChar w:fldCharType="end"/>
            </w:r>
          </w:hyperlink>
        </w:p>
        <w:p w14:paraId="54FDB900" w14:textId="6D19B288" w:rsidR="002A7A46" w:rsidRDefault="002A7A46">
          <w:pPr>
            <w:pStyle w:val="TOC2"/>
            <w:tabs>
              <w:tab w:val="left" w:pos="1319"/>
              <w:tab w:val="right" w:leader="dot" w:pos="10070"/>
            </w:tabs>
            <w:rPr>
              <w:rFonts w:asciiTheme="minorHAnsi" w:eastAsiaTheme="minorEastAsia" w:hAnsiTheme="minorHAnsi" w:cstheme="minorBidi"/>
              <w:noProof/>
              <w:kern w:val="2"/>
              <w:sz w:val="24"/>
              <w:szCs w:val="24"/>
              <w14:ligatures w14:val="standardContextual"/>
            </w:rPr>
          </w:pPr>
          <w:hyperlink w:anchor="_Toc220002734" w:history="1">
            <w:r w:rsidRPr="009A14BA">
              <w:rPr>
                <w:rStyle w:val="Hyperlink"/>
                <w:noProof/>
                <w:spacing w:val="-1"/>
                <w:w w:val="99"/>
              </w:rPr>
              <w:t>8.4</w:t>
            </w:r>
            <w:r>
              <w:rPr>
                <w:rFonts w:asciiTheme="minorHAnsi" w:eastAsiaTheme="minorEastAsia" w:hAnsiTheme="minorHAnsi" w:cstheme="minorBidi"/>
                <w:noProof/>
                <w:kern w:val="2"/>
                <w:sz w:val="24"/>
                <w:szCs w:val="24"/>
                <w14:ligatures w14:val="standardContextual"/>
              </w:rPr>
              <w:tab/>
            </w:r>
            <w:r w:rsidRPr="009A14BA">
              <w:rPr>
                <w:rStyle w:val="Hyperlink"/>
                <w:noProof/>
              </w:rPr>
              <w:t>Protest procedure as condition precedent (GP 1</w:t>
            </w:r>
            <w:r w:rsidRPr="009A14BA">
              <w:rPr>
                <w:rStyle w:val="Hyperlink"/>
                <w:rFonts w:ascii="Cambria Math" w:hAnsi="Cambria Math" w:cs="Cambria Math"/>
                <w:noProof/>
              </w:rPr>
              <w:t>‑</w:t>
            </w:r>
            <w:r w:rsidRPr="009A14BA">
              <w:rPr>
                <w:rStyle w:val="Hyperlink"/>
                <w:noProof/>
              </w:rPr>
              <w:t>04.5)</w:t>
            </w:r>
            <w:r>
              <w:rPr>
                <w:noProof/>
                <w:webHidden/>
              </w:rPr>
              <w:tab/>
            </w:r>
            <w:r>
              <w:rPr>
                <w:noProof/>
                <w:webHidden/>
              </w:rPr>
              <w:fldChar w:fldCharType="begin"/>
            </w:r>
            <w:r>
              <w:rPr>
                <w:noProof/>
                <w:webHidden/>
              </w:rPr>
              <w:instrText xml:space="preserve"> PAGEREF _Toc220002734 \h </w:instrText>
            </w:r>
            <w:r>
              <w:rPr>
                <w:noProof/>
                <w:webHidden/>
              </w:rPr>
            </w:r>
            <w:r>
              <w:rPr>
                <w:noProof/>
                <w:webHidden/>
              </w:rPr>
              <w:fldChar w:fldCharType="separate"/>
            </w:r>
            <w:r>
              <w:rPr>
                <w:noProof/>
                <w:webHidden/>
              </w:rPr>
              <w:t>18</w:t>
            </w:r>
            <w:r>
              <w:rPr>
                <w:noProof/>
                <w:webHidden/>
              </w:rPr>
              <w:fldChar w:fldCharType="end"/>
            </w:r>
          </w:hyperlink>
        </w:p>
        <w:p w14:paraId="24AF180F" w14:textId="597DBA36" w:rsidR="002A7A46" w:rsidRDefault="002A7A46">
          <w:pPr>
            <w:pStyle w:val="TOC2"/>
            <w:tabs>
              <w:tab w:val="left" w:pos="1319"/>
              <w:tab w:val="right" w:leader="dot" w:pos="10070"/>
            </w:tabs>
            <w:rPr>
              <w:rFonts w:asciiTheme="minorHAnsi" w:eastAsiaTheme="minorEastAsia" w:hAnsiTheme="minorHAnsi" w:cstheme="minorBidi"/>
              <w:noProof/>
              <w:kern w:val="2"/>
              <w:sz w:val="24"/>
              <w:szCs w:val="24"/>
              <w14:ligatures w14:val="standardContextual"/>
            </w:rPr>
          </w:pPr>
          <w:hyperlink w:anchor="_Toc220002735" w:history="1">
            <w:r w:rsidRPr="009A14BA">
              <w:rPr>
                <w:rStyle w:val="Hyperlink"/>
                <w:noProof/>
                <w:spacing w:val="-1"/>
                <w:w w:val="99"/>
              </w:rPr>
              <w:t>8.5</w:t>
            </w:r>
            <w:r>
              <w:rPr>
                <w:rFonts w:asciiTheme="minorHAnsi" w:eastAsiaTheme="minorEastAsia" w:hAnsiTheme="minorHAnsi" w:cstheme="minorBidi"/>
                <w:noProof/>
                <w:kern w:val="2"/>
                <w:sz w:val="24"/>
                <w:szCs w:val="24"/>
                <w14:ligatures w14:val="standardContextual"/>
              </w:rPr>
              <w:tab/>
            </w:r>
            <w:r w:rsidRPr="009A14BA">
              <w:rPr>
                <w:rStyle w:val="Hyperlink"/>
                <w:noProof/>
              </w:rPr>
              <w:t>Limited maintenance compensation framework (GP 1</w:t>
            </w:r>
            <w:r w:rsidRPr="009A14BA">
              <w:rPr>
                <w:rStyle w:val="Hyperlink"/>
                <w:rFonts w:ascii="Cambria Math" w:hAnsi="Cambria Math" w:cs="Cambria Math"/>
                <w:noProof/>
              </w:rPr>
              <w:t>‑</w:t>
            </w:r>
            <w:r w:rsidRPr="009A14BA">
              <w:rPr>
                <w:rStyle w:val="Hyperlink"/>
                <w:noProof/>
              </w:rPr>
              <w:t>09.4, GP 1</w:t>
            </w:r>
            <w:r w:rsidRPr="009A14BA">
              <w:rPr>
                <w:rStyle w:val="Hyperlink"/>
                <w:rFonts w:ascii="Cambria Math" w:hAnsi="Cambria Math" w:cs="Cambria Math"/>
                <w:noProof/>
              </w:rPr>
              <w:t>‑</w:t>
            </w:r>
            <w:r w:rsidRPr="009A14BA">
              <w:rPr>
                <w:rStyle w:val="Hyperlink"/>
                <w:noProof/>
              </w:rPr>
              <w:t>09.6, Appendix D)</w:t>
            </w:r>
            <w:r>
              <w:rPr>
                <w:noProof/>
                <w:webHidden/>
              </w:rPr>
              <w:tab/>
            </w:r>
            <w:r>
              <w:rPr>
                <w:noProof/>
                <w:webHidden/>
              </w:rPr>
              <w:fldChar w:fldCharType="begin"/>
            </w:r>
            <w:r>
              <w:rPr>
                <w:noProof/>
                <w:webHidden/>
              </w:rPr>
              <w:instrText xml:space="preserve"> PAGEREF _Toc220002735 \h </w:instrText>
            </w:r>
            <w:r>
              <w:rPr>
                <w:noProof/>
                <w:webHidden/>
              </w:rPr>
            </w:r>
            <w:r>
              <w:rPr>
                <w:noProof/>
                <w:webHidden/>
              </w:rPr>
              <w:fldChar w:fldCharType="separate"/>
            </w:r>
            <w:r>
              <w:rPr>
                <w:noProof/>
                <w:webHidden/>
              </w:rPr>
              <w:t>18</w:t>
            </w:r>
            <w:r>
              <w:rPr>
                <w:noProof/>
                <w:webHidden/>
              </w:rPr>
              <w:fldChar w:fldCharType="end"/>
            </w:r>
          </w:hyperlink>
        </w:p>
        <w:p w14:paraId="50CD0413" w14:textId="6C3AAFDE" w:rsidR="00963743" w:rsidRDefault="00963743">
          <w:r>
            <w:rPr>
              <w:b/>
              <w:bCs/>
              <w:noProof/>
            </w:rPr>
            <w:fldChar w:fldCharType="end"/>
          </w:r>
        </w:p>
      </w:sdtContent>
    </w:sdt>
    <w:p w14:paraId="4EC18750" w14:textId="77777777" w:rsidR="00352E1D" w:rsidRDefault="00352E1D">
      <w:pPr>
        <w:pStyle w:val="TOC1"/>
        <w:sectPr w:rsidR="00352E1D">
          <w:headerReference w:type="default" r:id="rId10"/>
          <w:footerReference w:type="default" r:id="rId11"/>
          <w:pgSz w:w="12240" w:h="15840"/>
          <w:pgMar w:top="1580" w:right="1080" w:bottom="860" w:left="1080" w:header="758" w:footer="675" w:gutter="0"/>
          <w:cols w:space="720"/>
        </w:sectPr>
      </w:pPr>
    </w:p>
    <w:p w14:paraId="5300A0A9" w14:textId="63EF8F80" w:rsidR="07730DDF" w:rsidRDefault="07730DDF" w:rsidP="41851C04">
      <w:pPr>
        <w:pStyle w:val="Heading1"/>
      </w:pPr>
      <w:bookmarkStart w:id="3" w:name="1_Introduction"/>
      <w:bookmarkStart w:id="4" w:name="_Toc220002712"/>
      <w:bookmarkEnd w:id="3"/>
      <w:r>
        <w:lastRenderedPageBreak/>
        <w:t>Introduc</w:t>
      </w:r>
      <w:r w:rsidR="375CAE10">
        <w:t>ti</w:t>
      </w:r>
      <w:r>
        <w:t>on</w:t>
      </w:r>
      <w:bookmarkEnd w:id="4"/>
      <w:r w:rsidR="6BA694EF">
        <w:t xml:space="preserve"> </w:t>
      </w:r>
    </w:p>
    <w:p w14:paraId="510280BD" w14:textId="4537BEF3" w:rsidR="6BA694EF" w:rsidRDefault="6BA694EF" w:rsidP="41851C04">
      <w:pPr>
        <w:pStyle w:val="BodyText"/>
      </w:pPr>
      <w:r>
        <w:t>The Work includes activities in the I</w:t>
      </w:r>
      <w:r>
        <w:rPr>
          <w:rFonts w:ascii="Cambria Math" w:hAnsi="Cambria Math" w:cs="Cambria Math"/>
        </w:rPr>
        <w:t>‑</w:t>
      </w:r>
      <w:r>
        <w:t xml:space="preserve">405 median near the Canyon Park </w:t>
      </w:r>
      <w:proofErr w:type="spellStart"/>
      <w:r>
        <w:t>Park</w:t>
      </w:r>
      <w:proofErr w:type="spellEnd"/>
      <w:r>
        <w:t xml:space="preserve"> &amp; Ride (approximately MP 26.35–26.70). Vault NW12 is </w:t>
      </w:r>
      <w:r w:rsidR="00D23B21">
        <w:t xml:space="preserve">an existing stormwater detention facility </w:t>
      </w:r>
      <w:r>
        <w:t xml:space="preserve">located within the median </w:t>
      </w:r>
      <w:r w:rsidR="00D23B21">
        <w:t>of SR 405 in that same area.  It is a buried structure but visible via a series of large hatches and access manholes along the SB left shoulder of 4</w:t>
      </w:r>
      <w:r w:rsidR="0098479C">
        <w:t>0</w:t>
      </w:r>
      <w:r w:rsidR="00D23B21">
        <w:t xml:space="preserve">5.  </w:t>
      </w:r>
      <w:r w:rsidR="00E52083">
        <w:t xml:space="preserve">This structure was not planned to be incorporated into the final configuration of the project and was anticipated to be taken out of service and removed during the work.  Skanska’s plans to maintain a temporary stormwater system during the project chose to retain Vault NW12 and make use of it.  </w:t>
      </w:r>
      <w:r w:rsidR="00D23B21">
        <w:t xml:space="preserve">As DB Skanska developed their design and traffic staging sequence, they recognized that their plans </w:t>
      </w:r>
      <w:r>
        <w:t xml:space="preserve">for construction access and </w:t>
      </w:r>
      <w:r w:rsidR="00E52083">
        <w:t xml:space="preserve">staging of </w:t>
      </w:r>
      <w:r w:rsidR="00D23B21">
        <w:t>mainline 405 traffic</w:t>
      </w:r>
      <w:r w:rsidR="00E52083">
        <w:t xml:space="preserve"> would conflict with the vault, placing traffic directly</w:t>
      </w:r>
      <w:r w:rsidR="00D23B21">
        <w:t xml:space="preserve"> on top of the vault. </w:t>
      </w:r>
      <w:r>
        <w:t xml:space="preserve">As field verification progressed, differences were identified between </w:t>
      </w:r>
      <w:r w:rsidR="00D23B21">
        <w:t xml:space="preserve">as-built </w:t>
      </w:r>
      <w:r>
        <w:t xml:space="preserve">information </w:t>
      </w:r>
      <w:r w:rsidR="000C3CF3">
        <w:t xml:space="preserve">in </w:t>
      </w:r>
      <w:r w:rsidR="5FC25823">
        <w:t>Reference Documents</w:t>
      </w:r>
      <w:r w:rsidR="00E52083">
        <w:t xml:space="preserve"> provided with the contract</w:t>
      </w:r>
      <w:r w:rsidR="000C3CF3">
        <w:t xml:space="preserve"> </w:t>
      </w:r>
      <w:r>
        <w:t xml:space="preserve">and the observed vault configuration, including overall length (≈291 ft vs ≈195 ft between </w:t>
      </w:r>
      <w:r w:rsidR="63DC2D01">
        <w:t xml:space="preserve">Station </w:t>
      </w:r>
      <w:r>
        <w:t>42+633 and 42+692), construction type (segmental precast vs cast</w:t>
      </w:r>
      <w:r>
        <w:rPr>
          <w:rFonts w:ascii="Cambria Math" w:hAnsi="Cambria Math" w:cs="Cambria Math"/>
        </w:rPr>
        <w:t>‑</w:t>
      </w:r>
      <w:r>
        <w:t>in</w:t>
      </w:r>
      <w:r>
        <w:rPr>
          <w:rFonts w:ascii="Cambria Math" w:hAnsi="Cambria Math" w:cs="Cambria Math"/>
        </w:rPr>
        <w:t>‑</w:t>
      </w:r>
      <w:r>
        <w:t>place characterization), lid thickness observations, and accumulated sediment requiring cleaning to enable inspection.</w:t>
      </w:r>
    </w:p>
    <w:p w14:paraId="0225CA63" w14:textId="55AEAD09" w:rsidR="6BA694EF" w:rsidRDefault="00E52083" w:rsidP="41851C04">
      <w:pPr>
        <w:pStyle w:val="BodyText"/>
      </w:pPr>
      <w:r>
        <w:t xml:space="preserve">Even though WSDOT’s conceptual designs had never anticipated </w:t>
      </w:r>
      <w:r w:rsidR="00F51244">
        <w:t>the placement of traffic on top of the vault, the WSDOT project team collaborated with Skanska to investigate how their plans could be accommodated.  Once the geometry of</w:t>
      </w:r>
      <w:r w:rsidR="003E510E">
        <w:t xml:space="preserve"> Skanska’s plans were recognized, WSDOT informed Skanska that </w:t>
      </w:r>
      <w:r w:rsidR="00E06036">
        <w:t xml:space="preserve">a load rating of the vault would be essential to ensure public safety.  The vault had not been designed to receive direct traffic loading on it in the configuration proposed by Skanska.  </w:t>
      </w:r>
      <w:r w:rsidR="001A240E">
        <w:t xml:space="preserve">The WSDOT project team attempted to </w:t>
      </w:r>
      <w:r w:rsidR="00B83CCF">
        <w:t>provide guidance to Skanska in what was needed to properly assess the capacity of the existing vault</w:t>
      </w:r>
      <w:r w:rsidR="00B47006">
        <w:t xml:space="preserve"> and address WSDOT’s valid concerns on behalf of public safety.  </w:t>
      </w:r>
      <w:r w:rsidR="6BA694EF">
        <w:t>Skanska’s objective has been to stage the Work and, at times, c</w:t>
      </w:r>
      <w:r w:rsidR="000C3CF3">
        <w:t>onduct</w:t>
      </w:r>
      <w:r w:rsidR="6BA694EF">
        <w:t xml:space="preserve"> construction and/or divert traffic over the median above NW12. To advance that objective, Skanska performed cleaning for inspection, pursued a load rating to confirm capacity, and considered temporary internal shoring and related measures to support its Maintenance of Traffic (MOT) and staging.</w:t>
      </w:r>
    </w:p>
    <w:p w14:paraId="515DDEB0" w14:textId="1E38D643" w:rsidR="6BA694EF" w:rsidRDefault="6BA694EF" w:rsidP="41851C04">
      <w:pPr>
        <w:pStyle w:val="BodyText"/>
      </w:pPr>
      <w:r>
        <w:t xml:space="preserve">The Contract includes requirements relevant to these activities: Technical Requirements </w:t>
      </w:r>
      <w:r w:rsidR="004C1A1E">
        <w:t>(TR)</w:t>
      </w:r>
      <w:r>
        <w:t xml:space="preserve"> 2.13.7.4 (Load Rating Report timing before opening to traffic), </w:t>
      </w:r>
      <w:r w:rsidR="004C1A1E">
        <w:t>TR</w:t>
      </w:r>
      <w:r>
        <w:t xml:space="preserve"> 2.22.1 (MOT, staging, and temporary alignments), and </w:t>
      </w:r>
      <w:r w:rsidR="004C1A1E">
        <w:t>TR</w:t>
      </w:r>
      <w:r>
        <w:t xml:space="preserve"> 2.14.5.6 (Abandonment and Removal of Existing Drainage Structures). </w:t>
      </w:r>
      <w:r w:rsidR="00F60A80">
        <w:t>TR</w:t>
      </w:r>
      <w:r>
        <w:t xml:space="preserve"> 2.14.5.6 identifies “I</w:t>
      </w:r>
      <w:r w:rsidRPr="2D58724E">
        <w:rPr>
          <w:rFonts w:ascii="Cambria Math" w:hAnsi="Cambria Math" w:cs="Cambria Math"/>
        </w:rPr>
        <w:t>‑</w:t>
      </w:r>
      <w:r>
        <w:t>405 MP 26.45 — Vault NW12 (I</w:t>
      </w:r>
      <w:r w:rsidRPr="2D58724E">
        <w:rPr>
          <w:rFonts w:ascii="Cambria Math" w:hAnsi="Cambria Math" w:cs="Cambria Math"/>
        </w:rPr>
        <w:t>‑</w:t>
      </w:r>
      <w:r>
        <w:t xml:space="preserve">405 Median)” among drainage structures to be filled and abandoned in place unless another Contract document specifically requires removal. </w:t>
      </w:r>
      <w:r w:rsidR="00D0391D">
        <w:t>Appendix N1 as</w:t>
      </w:r>
      <w:r w:rsidR="00D0391D" w:rsidRPr="2D58724E">
        <w:rPr>
          <w:rFonts w:ascii="Cambria Math" w:hAnsi="Cambria Math" w:cs="Cambria Math"/>
        </w:rPr>
        <w:t>‑</w:t>
      </w:r>
      <w:r w:rsidR="00D0391D">
        <w:t>built drawings are listed in Appendix A1 as Reference Documents under General Provisions Sections 1</w:t>
      </w:r>
      <w:r w:rsidR="00D0391D" w:rsidRPr="2D58724E">
        <w:rPr>
          <w:rFonts w:ascii="Cambria Math" w:hAnsi="Cambria Math" w:cs="Cambria Math"/>
        </w:rPr>
        <w:t>‑</w:t>
      </w:r>
      <w:r w:rsidR="00D0391D">
        <w:t>01.3 and 1</w:t>
      </w:r>
      <w:r w:rsidR="00D0391D" w:rsidRPr="2D58724E">
        <w:rPr>
          <w:rFonts w:ascii="Cambria Math" w:hAnsi="Cambria Math" w:cs="Cambria Math"/>
        </w:rPr>
        <w:t>‑</w:t>
      </w:r>
      <w:r w:rsidR="00D640D9">
        <w:t>02.2 and</w:t>
      </w:r>
      <w:r w:rsidR="00D0391D">
        <w:t xml:space="preserve"> were used during </w:t>
      </w:r>
      <w:r w:rsidR="000C3CF3">
        <w:t>preliminary design (and procurement)</w:t>
      </w:r>
      <w:r w:rsidR="00D0391D">
        <w:t xml:space="preserve"> and later </w:t>
      </w:r>
      <w:r w:rsidR="5F950646">
        <w:t>field-</w:t>
      </w:r>
      <w:r w:rsidR="00D0391D">
        <w:t>verified.</w:t>
      </w:r>
    </w:p>
    <w:p w14:paraId="41126DFA" w14:textId="3354A45B" w:rsidR="00CE7D16" w:rsidRDefault="000C3CF3" w:rsidP="41851C04">
      <w:pPr>
        <w:pStyle w:val="BodyText"/>
      </w:pPr>
      <w:r>
        <w:t xml:space="preserve">In </w:t>
      </w:r>
      <w:r w:rsidR="00CE7D16" w:rsidRPr="00CE7D16">
        <w:t>Skanska LTR 124</w:t>
      </w:r>
      <w:r>
        <w:t>, dated February 13, 2025</w:t>
      </w:r>
      <w:r w:rsidR="00CE7D16" w:rsidRPr="00CE7D16">
        <w:t>, the Design</w:t>
      </w:r>
      <w:r w:rsidR="00CE7D16" w:rsidRPr="00CE7D16">
        <w:rPr>
          <w:rFonts w:ascii="Cambria Math" w:hAnsi="Cambria Math" w:cs="Cambria Math"/>
        </w:rPr>
        <w:t>‑</w:t>
      </w:r>
      <w:r w:rsidR="00CE7D16" w:rsidRPr="00CE7D16">
        <w:t>Builder requested an Owner</w:t>
      </w:r>
      <w:r w:rsidR="00CE7D16" w:rsidRPr="00CE7D16">
        <w:rPr>
          <w:rFonts w:ascii="Cambria Math" w:hAnsi="Cambria Math" w:cs="Cambria Math"/>
        </w:rPr>
        <w:t>‑</w:t>
      </w:r>
      <w:r w:rsidR="00CE7D16" w:rsidRPr="00CE7D16">
        <w:t>Initiated Change (OIC) for additional compensation based on differences between Appendix N1 and field conditions. In letters dated February 21, 2025 (WSDOT SL 079) and March 20, 2025 (WSDOT SL 088), WSDOT determined there was no merit for a change condition or broader design/construction compensation and directed Skanska to the protest procedures in General Provisions Section 1</w:t>
      </w:r>
      <w:r w:rsidR="00CE7D16" w:rsidRPr="00CE7D16">
        <w:rPr>
          <w:rFonts w:ascii="Cambria Math" w:hAnsi="Cambria Math" w:cs="Cambria Math"/>
        </w:rPr>
        <w:t>‑</w:t>
      </w:r>
      <w:r w:rsidR="00CE7D16" w:rsidRPr="00CE7D16">
        <w:t>04.5 if it disagreed. In the spirit of partnering, WSDOT has been willing to consider limited compensation for a defined Vault NW12 maintenance/cleanout effort, while maintaining its position that design, construction, and staging decisions remain the Design</w:t>
      </w:r>
      <w:r w:rsidR="00CE7D16" w:rsidRPr="00CE7D16">
        <w:rPr>
          <w:rFonts w:ascii="Cambria Math" w:hAnsi="Cambria Math" w:cs="Cambria Math"/>
        </w:rPr>
        <w:t>‑</w:t>
      </w:r>
      <w:r w:rsidR="00CE7D16" w:rsidRPr="00CE7D16">
        <w:t>Builder’s responsibility under the Contract.</w:t>
      </w:r>
    </w:p>
    <w:p w14:paraId="41289721" w14:textId="15BDED61" w:rsidR="41851C04" w:rsidRDefault="00251B2E" w:rsidP="41851C04">
      <w:pPr>
        <w:pStyle w:val="BodyText"/>
      </w:pPr>
      <w:r w:rsidRPr="00251B2E">
        <w:t xml:space="preserve">This paper summarizes the relevant Contract requirements, correspondence, and protest/DRB steps </w:t>
      </w:r>
      <w:r w:rsidRPr="00251B2E">
        <w:lastRenderedPageBreak/>
        <w:t>that support WSDOT’s position</w:t>
      </w:r>
      <w:r w:rsidR="00F5551A">
        <w:t xml:space="preserve"> on Protest </w:t>
      </w:r>
      <w:r w:rsidR="007F2B0A">
        <w:t>001</w:t>
      </w:r>
      <w:r w:rsidRPr="00251B2E">
        <w:t>.</w:t>
      </w:r>
    </w:p>
    <w:p w14:paraId="745867A8" w14:textId="1B39F40C" w:rsidR="0065633E" w:rsidRDefault="0065633E" w:rsidP="41851C04">
      <w:pPr>
        <w:pStyle w:val="BodyText"/>
        <w:ind w:left="0"/>
      </w:pPr>
    </w:p>
    <w:p w14:paraId="2E12ACCF" w14:textId="08115015" w:rsidR="007F3A36" w:rsidRPr="0097710F" w:rsidRDefault="006D10F0" w:rsidP="0097710F">
      <w:pPr>
        <w:pStyle w:val="Heading1"/>
      </w:pPr>
      <w:bookmarkStart w:id="5" w:name="2_Project_Summary"/>
      <w:bookmarkStart w:id="6" w:name="_Toc220002713"/>
      <w:bookmarkEnd w:id="5"/>
      <w:r>
        <w:t>Project Summary</w:t>
      </w:r>
      <w:bookmarkEnd w:id="6"/>
    </w:p>
    <w:p w14:paraId="07BA7455" w14:textId="2C4DBCC3" w:rsidR="681D451B" w:rsidRDefault="681D451B" w:rsidP="41851C04">
      <w:pPr>
        <w:pStyle w:val="BodyText"/>
      </w:pPr>
      <w:r w:rsidRPr="41851C04">
        <w:t>The I-405/Brickyard to SR 527 Improvement Project enhances four and a half miles of the corridor, primarily in Bothell, from just south of the State Route 522 interchange and ending at the SR 527 interchange. WSDOT, Sound Transit and design-build contractor Skanska USA Inc., will deliver improvements that benefit all users, while addressing aging infrastructure, opening upstream fish habitat, and connecting communities, freight and Regional Growth Centers throughout the corridor.</w:t>
      </w:r>
      <w:r>
        <w:br/>
      </w:r>
      <w:r>
        <w:br/>
      </w:r>
      <w:r w:rsidRPr="41851C04">
        <w:t>Since implemented in 2015, express toll lanes (ETL) have helped improve reliability of trips on the north end of the I-405 corridor, however the single-lane section still experiences heavy congestion, especially for people traveling south during the morning commute. The project will extend the dual-express toll lane system on the north end of I-405 and improve access to the voter-approved Stride bus rapid transit service to address congestion and help keep all vehicles moving efficiently.</w:t>
      </w:r>
      <w:r>
        <w:br/>
      </w:r>
      <w:r>
        <w:br/>
      </w:r>
      <w:r w:rsidRPr="41851C04">
        <w:t xml:space="preserve">This project includes three new </w:t>
      </w:r>
      <w:r w:rsidR="00DA6431">
        <w:t>Bus Rapid Transit (</w:t>
      </w:r>
      <w:r w:rsidRPr="41851C04">
        <w:t>Stride</w:t>
      </w:r>
      <w:r w:rsidR="00DA6431">
        <w:t xml:space="preserve"> or BRT)</w:t>
      </w:r>
      <w:r w:rsidRPr="41851C04">
        <w:t xml:space="preserve"> stations and will build direct access ramps to the ETL system at SR 522, along with a partial direct access interchange at SR 527 to and from the south connecting to the Canyon Park </w:t>
      </w:r>
      <w:proofErr w:type="spellStart"/>
      <w:r w:rsidRPr="41851C04">
        <w:t>Park</w:t>
      </w:r>
      <w:proofErr w:type="spellEnd"/>
      <w:r w:rsidRPr="41851C04">
        <w:t xml:space="preserve"> &amp; Ride. These enhancements will allow Stride vehicles to travel in the new ETLs between Lynnwood and Bellevue while stopping briefly to </w:t>
      </w:r>
      <w:r w:rsidR="00D640D9" w:rsidRPr="41851C04">
        <w:t>pick up</w:t>
      </w:r>
      <w:r w:rsidRPr="41851C04">
        <w:t xml:space="preserve"> and drop</w:t>
      </w:r>
      <w:r w:rsidR="00D640D9">
        <w:t xml:space="preserve"> </w:t>
      </w:r>
      <w:r w:rsidRPr="41851C04">
        <w:t xml:space="preserve">off passengers without having to leave the highway system. Having dedicated ETL access in the center of the freeway will make travel more </w:t>
      </w:r>
      <w:r w:rsidR="00D640D9" w:rsidRPr="41851C04">
        <w:t>efficient,</w:t>
      </w:r>
      <w:r w:rsidRPr="41851C04">
        <w:t xml:space="preserve"> supporting the new Stride service with buses arriving every 10 minutes for most of the day.</w:t>
      </w:r>
      <w:r>
        <w:br/>
      </w:r>
      <w:r>
        <w:br/>
      </w:r>
      <w:r w:rsidRPr="41851C04">
        <w:t>Additionally, the project will address aging infrastructure, restore stream connections, add noise walls and add new stormwater facilities.</w:t>
      </w:r>
    </w:p>
    <w:p w14:paraId="03CFB152" w14:textId="5652A178" w:rsidR="41851C04" w:rsidRDefault="41851C04" w:rsidP="41851C04">
      <w:pPr>
        <w:pStyle w:val="BodyText"/>
      </w:pPr>
    </w:p>
    <w:p w14:paraId="4EC18766" w14:textId="06FEFCEC" w:rsidR="00352E1D" w:rsidRPr="002607E3" w:rsidRDefault="006D10F0" w:rsidP="002762A2">
      <w:pPr>
        <w:pStyle w:val="Heading1"/>
      </w:pPr>
      <w:bookmarkStart w:id="7" w:name="3_Relevant_Technical_Requirements"/>
      <w:bookmarkStart w:id="8" w:name="_Toc220002714"/>
      <w:bookmarkEnd w:id="7"/>
      <w:r>
        <w:t xml:space="preserve">Relevant </w:t>
      </w:r>
      <w:r w:rsidR="002538CE">
        <w:t>Contractual</w:t>
      </w:r>
      <w:r>
        <w:t xml:space="preserve"> Requirements</w:t>
      </w:r>
      <w:bookmarkEnd w:id="8"/>
    </w:p>
    <w:p w14:paraId="2BF817AB" w14:textId="77777777" w:rsidR="0079593C" w:rsidRPr="00062FD6" w:rsidRDefault="0079593C" w:rsidP="00CF1D48">
      <w:pPr>
        <w:pStyle w:val="Heading2"/>
      </w:pPr>
      <w:bookmarkStart w:id="9" w:name="_Toc207030909"/>
      <w:bookmarkStart w:id="10" w:name="_Toc220002715"/>
      <w:r w:rsidRPr="00CF1D48">
        <w:t>RFP Chapter 1, General Provisions</w:t>
      </w:r>
      <w:bookmarkEnd w:id="9"/>
      <w:bookmarkEnd w:id="10"/>
    </w:p>
    <w:p w14:paraId="524250D5" w14:textId="6B5FD76D" w:rsidR="7197893B" w:rsidRDefault="7197893B" w:rsidP="6E285AE6">
      <w:pPr>
        <w:pStyle w:val="BodyText"/>
        <w:rPr>
          <w:b/>
          <w:bCs/>
        </w:rPr>
      </w:pPr>
      <w:r w:rsidRPr="6E285AE6">
        <w:rPr>
          <w:b/>
          <w:bCs/>
        </w:rPr>
        <w:t>Section 1</w:t>
      </w:r>
      <w:r w:rsidR="1E08E4E9" w:rsidRPr="6E285AE6">
        <w:rPr>
          <w:b/>
          <w:bCs/>
        </w:rPr>
        <w:t>-</w:t>
      </w:r>
      <w:r w:rsidRPr="6E285AE6">
        <w:rPr>
          <w:b/>
          <w:bCs/>
        </w:rPr>
        <w:t xml:space="preserve">01.3(1) Defined Terms </w:t>
      </w:r>
    </w:p>
    <w:p w14:paraId="3DC4BD8A" w14:textId="05133D1A" w:rsidR="7197893B" w:rsidRDefault="7197893B" w:rsidP="6E285AE6">
      <w:pPr>
        <w:pStyle w:val="Spec"/>
        <w:rPr>
          <w:rFonts w:ascii="Calibri" w:eastAsia="Calibri" w:hAnsi="Calibri" w:cs="Calibri"/>
          <w:i w:val="0"/>
          <w:iCs w:val="0"/>
        </w:rPr>
      </w:pPr>
      <w:r w:rsidRPr="6E285AE6">
        <w:rPr>
          <w:b/>
          <w:bCs/>
        </w:rPr>
        <w:t>Reference Documents:</w:t>
      </w:r>
      <w:r w:rsidR="2D6EADEA">
        <w:t xml:space="preserve"> </w:t>
      </w:r>
      <w:r w:rsidR="2D6EADEA" w:rsidRPr="6E285AE6">
        <w:t>Reference Documents are for information purposes only and the Design-Builder shall rely upon Reference Documents at its own risk. These Reference Documents are designated as such by WSDOT in Appendix A1.</w:t>
      </w:r>
    </w:p>
    <w:p w14:paraId="59CAA4F2" w14:textId="1D74C27C" w:rsidR="002607E3" w:rsidRPr="002607E3" w:rsidRDefault="7197893B" w:rsidP="6E285AE6">
      <w:pPr>
        <w:pStyle w:val="BodyText"/>
        <w:rPr>
          <w:b/>
          <w:bCs/>
        </w:rPr>
      </w:pPr>
      <w:r w:rsidRPr="6E285AE6">
        <w:rPr>
          <w:b/>
          <w:bCs/>
        </w:rPr>
        <w:t>Section 1</w:t>
      </w:r>
      <w:r w:rsidR="1E08E4E9" w:rsidRPr="6E285AE6">
        <w:rPr>
          <w:b/>
          <w:bCs/>
        </w:rPr>
        <w:t>-</w:t>
      </w:r>
      <w:r w:rsidRPr="6E285AE6">
        <w:rPr>
          <w:b/>
          <w:bCs/>
        </w:rPr>
        <w:t>02.2 Disclaimer Regarding Documentation</w:t>
      </w:r>
    </w:p>
    <w:p w14:paraId="40E223BB" w14:textId="3C31C9B9" w:rsidR="002607E3" w:rsidRPr="00E07ED8" w:rsidRDefault="7197893B" w:rsidP="6E285AE6">
      <w:pPr>
        <w:pStyle w:val="Spec"/>
      </w:pPr>
      <w:r>
        <w:t>“The Design</w:t>
      </w:r>
      <w:r w:rsidR="3A987C27">
        <w:t>-</w:t>
      </w:r>
      <w:r>
        <w:t>Builder is not entitled to rely on any document or information provided by WSDOT… Unless stated otherwise in the Contract, the Design</w:t>
      </w:r>
      <w:r w:rsidR="3A987C27">
        <w:t>-</w:t>
      </w:r>
      <w:r>
        <w:t>Builder is not entitled to rely on the Reference Documents.”</w:t>
      </w:r>
    </w:p>
    <w:p w14:paraId="3E818564" w14:textId="6A48F375" w:rsidR="002607E3" w:rsidRPr="002607E3" w:rsidRDefault="7197893B" w:rsidP="6E285AE6">
      <w:pPr>
        <w:pStyle w:val="BodyText"/>
        <w:rPr>
          <w:b/>
          <w:bCs/>
        </w:rPr>
      </w:pPr>
      <w:r w:rsidRPr="6E285AE6">
        <w:rPr>
          <w:b/>
          <w:bCs/>
        </w:rPr>
        <w:t>Section 1</w:t>
      </w:r>
      <w:r w:rsidR="1E08E4E9" w:rsidRPr="6E285AE6">
        <w:rPr>
          <w:b/>
          <w:bCs/>
        </w:rPr>
        <w:t>-</w:t>
      </w:r>
      <w:r w:rsidRPr="6E285AE6">
        <w:rPr>
          <w:b/>
          <w:bCs/>
        </w:rPr>
        <w:t xml:space="preserve">02.4(1) </w:t>
      </w:r>
      <w:r w:rsidR="2737B56D" w:rsidRPr="6E285AE6">
        <w:rPr>
          <w:b/>
          <w:bCs/>
        </w:rPr>
        <w:t>Examination of Site Work</w:t>
      </w:r>
    </w:p>
    <w:p w14:paraId="583CFE23" w14:textId="161343B2" w:rsidR="002607E3" w:rsidRPr="00E07ED8" w:rsidRDefault="7197893B" w:rsidP="6E285AE6">
      <w:pPr>
        <w:pStyle w:val="Spec"/>
      </w:pPr>
      <w:r>
        <w:lastRenderedPageBreak/>
        <w:t>“The Design</w:t>
      </w:r>
      <w:r w:rsidR="3A987C27">
        <w:t>-</w:t>
      </w:r>
      <w:r>
        <w:t xml:space="preserve">Builder has, prior to submitting its Proposal, in accordance with prudent and generally accepted engineering and construction practices, reviewed all Contract and Reference Documents provided by WSDOT; inspected and examined the Site and surrounding locations; and undertaken other appropriate activities sufficient to familiarize itself with surface and subsurface conditions discernible from the surface…” </w:t>
      </w:r>
    </w:p>
    <w:p w14:paraId="5C892E6D" w14:textId="684B1BA5" w:rsidR="002607E3" w:rsidRPr="00E07ED8" w:rsidRDefault="7197893B" w:rsidP="6E285AE6">
      <w:pPr>
        <w:pStyle w:val="Spec"/>
      </w:pPr>
      <w:r>
        <w:t>“</w:t>
      </w:r>
      <w:r w:rsidR="0FBD610A">
        <w:t>...</w:t>
      </w:r>
      <w:r>
        <w:t>The Design</w:t>
      </w:r>
      <w:r w:rsidR="3A987C27">
        <w:t>-</w:t>
      </w:r>
      <w:r>
        <w:t>Builder is solely responsible for all Site conditions discoverable from a reasonable Site examination… Any failure of the Design</w:t>
      </w:r>
      <w:r w:rsidR="3A987C27">
        <w:t>-</w:t>
      </w:r>
      <w:r>
        <w:t>Builder to take the actions described and acknowledged in this clause shall not relieve the Design</w:t>
      </w:r>
      <w:r w:rsidR="3A987C27">
        <w:t>-</w:t>
      </w:r>
      <w:r>
        <w:t>Builder from responsibility… WSDOT shall not be liable… if the claim… results from the Design</w:t>
      </w:r>
      <w:r w:rsidR="3A987C27">
        <w:t>-</w:t>
      </w:r>
      <w:r>
        <w:t>Builder’s failure to investigate and familiarize itself sufficiently with the conditions under which the Contract is to be performed.”</w:t>
      </w:r>
    </w:p>
    <w:p w14:paraId="78E53F7C" w14:textId="6F074538" w:rsidR="002607E3" w:rsidRPr="00E119B0" w:rsidRDefault="7197893B" w:rsidP="6E285AE6">
      <w:pPr>
        <w:pStyle w:val="BodyText"/>
        <w:rPr>
          <w:b/>
          <w:bCs/>
        </w:rPr>
      </w:pPr>
      <w:r w:rsidRPr="6E285AE6">
        <w:rPr>
          <w:b/>
          <w:bCs/>
        </w:rPr>
        <w:t>Section 1</w:t>
      </w:r>
      <w:r w:rsidR="1E08E4E9" w:rsidRPr="6E285AE6">
        <w:rPr>
          <w:b/>
          <w:bCs/>
        </w:rPr>
        <w:t>-</w:t>
      </w:r>
      <w:r w:rsidRPr="6E285AE6">
        <w:rPr>
          <w:b/>
          <w:bCs/>
        </w:rPr>
        <w:t xml:space="preserve">03.1 </w:t>
      </w:r>
      <w:r w:rsidR="7E53EB68" w:rsidRPr="6E285AE6">
        <w:rPr>
          <w:b/>
          <w:bCs/>
        </w:rPr>
        <w:t>-</w:t>
      </w:r>
      <w:r w:rsidRPr="6E285AE6">
        <w:rPr>
          <w:b/>
          <w:bCs/>
        </w:rPr>
        <w:t xml:space="preserve"> Interpretation of Contract Documents</w:t>
      </w:r>
      <w:r w:rsidR="247878CE" w:rsidRPr="6E285AE6">
        <w:rPr>
          <w:b/>
          <w:bCs/>
        </w:rPr>
        <w:t xml:space="preserve"> – Contract </w:t>
      </w:r>
      <w:r w:rsidRPr="6E285AE6">
        <w:rPr>
          <w:b/>
          <w:bCs/>
        </w:rPr>
        <w:t>Documents</w:t>
      </w:r>
    </w:p>
    <w:p w14:paraId="267DF60C" w14:textId="6E67F7B5" w:rsidR="002607E3" w:rsidRPr="00E119B0" w:rsidRDefault="7197893B" w:rsidP="6E285AE6">
      <w:pPr>
        <w:pStyle w:val="Spec"/>
      </w:pPr>
      <w:r>
        <w:t>“Unless provided otherwise in the Contract, Reference Documents are for information purposes only and the Design</w:t>
      </w:r>
      <w:r w:rsidR="3A987C27">
        <w:t>-</w:t>
      </w:r>
      <w:r>
        <w:t>Builder shall rely upon Reference Documents at its own risk.”</w:t>
      </w:r>
    </w:p>
    <w:p w14:paraId="400A769C" w14:textId="7C35061A" w:rsidR="083728A8" w:rsidRDefault="083728A8" w:rsidP="6E285AE6">
      <w:pPr>
        <w:pStyle w:val="BodyText"/>
        <w:rPr>
          <w:b/>
          <w:bCs/>
        </w:rPr>
      </w:pPr>
      <w:r w:rsidRPr="6E285AE6">
        <w:rPr>
          <w:b/>
          <w:bCs/>
        </w:rPr>
        <w:t>Section 1</w:t>
      </w:r>
      <w:r w:rsidRPr="6E285AE6">
        <w:rPr>
          <w:rFonts w:ascii="Cambria Math" w:hAnsi="Cambria Math" w:cs="Cambria Math"/>
          <w:b/>
          <w:bCs/>
        </w:rPr>
        <w:t>‑</w:t>
      </w:r>
      <w:r w:rsidRPr="6E285AE6">
        <w:rPr>
          <w:b/>
          <w:bCs/>
        </w:rPr>
        <w:t>04.1(2) — General Obligations of the Design</w:t>
      </w:r>
      <w:r w:rsidRPr="6E285AE6">
        <w:rPr>
          <w:rFonts w:ascii="Cambria Math" w:hAnsi="Cambria Math" w:cs="Cambria Math"/>
          <w:b/>
          <w:bCs/>
        </w:rPr>
        <w:t>‑</w:t>
      </w:r>
      <w:r w:rsidRPr="6E285AE6">
        <w:rPr>
          <w:b/>
          <w:bCs/>
        </w:rPr>
        <w:t>Builder — Mitigation of Delay</w:t>
      </w:r>
    </w:p>
    <w:p w14:paraId="28344D53" w14:textId="63E39E7C" w:rsidR="083728A8" w:rsidRDefault="083728A8" w:rsidP="6E285AE6">
      <w:pPr>
        <w:pStyle w:val="Spec"/>
        <w:rPr>
          <w:rFonts w:ascii="Calibri" w:eastAsia="Calibri" w:hAnsi="Calibri" w:cs="Calibri"/>
        </w:rPr>
      </w:pPr>
      <w:r w:rsidRPr="6E285AE6">
        <w:t>“The Design</w:t>
      </w:r>
      <w:r w:rsidRPr="6E285AE6">
        <w:rPr>
          <w:rFonts w:ascii="Cambria Math" w:hAnsi="Cambria Math" w:cs="Cambria Math"/>
        </w:rPr>
        <w:t>‑</w:t>
      </w:r>
      <w:r w:rsidRPr="6E285AE6">
        <w:t>Builder, in addition to performing all other requirements of the Contract Documents, shall: (k) Mitigate delay to the Project and mitigate damages due to delay in all circumstances, to the extent possible, including by re</w:t>
      </w:r>
      <w:r w:rsidRPr="6E285AE6">
        <w:rPr>
          <w:rFonts w:ascii="Cambria Math" w:hAnsi="Cambria Math" w:cs="Cambria Math"/>
        </w:rPr>
        <w:t>‑</w:t>
      </w:r>
      <w:r w:rsidRPr="6E285AE6">
        <w:t>sequencing, reallocating, or redeploying the Design</w:t>
      </w:r>
      <w:r w:rsidRPr="6E285AE6">
        <w:rPr>
          <w:rFonts w:ascii="Cambria Math" w:hAnsi="Cambria Math" w:cs="Cambria Math"/>
        </w:rPr>
        <w:t>‑</w:t>
      </w:r>
      <w:r w:rsidRPr="6E285AE6">
        <w:t>Builder</w:t>
      </w:r>
      <w:r w:rsidRPr="6E285AE6">
        <w:rPr>
          <w:rFonts w:ascii="Calibri" w:hAnsi="Calibri" w:cs="Calibri"/>
        </w:rPr>
        <w:t>’</w:t>
      </w:r>
      <w:r w:rsidRPr="6E285AE6">
        <w:t>s work forces to other Work, as appropriate.</w:t>
      </w:r>
      <w:r w:rsidRPr="6E285AE6">
        <w:rPr>
          <w:rFonts w:ascii="Calibri" w:hAnsi="Calibri" w:cs="Calibri"/>
        </w:rPr>
        <w:t>”</w:t>
      </w:r>
    </w:p>
    <w:p w14:paraId="3D9D7B58" w14:textId="430EE960" w:rsidR="002607E3" w:rsidRPr="002607E3" w:rsidRDefault="7197893B" w:rsidP="6E285AE6">
      <w:pPr>
        <w:pStyle w:val="BodyText"/>
        <w:rPr>
          <w:b/>
          <w:bCs/>
        </w:rPr>
      </w:pPr>
      <w:r w:rsidRPr="6E285AE6">
        <w:rPr>
          <w:b/>
          <w:bCs/>
        </w:rPr>
        <w:t>Section 1</w:t>
      </w:r>
      <w:r w:rsidR="1E08E4E9" w:rsidRPr="6E285AE6">
        <w:rPr>
          <w:b/>
          <w:bCs/>
        </w:rPr>
        <w:t>-</w:t>
      </w:r>
      <w:r w:rsidRPr="6E285AE6">
        <w:rPr>
          <w:b/>
          <w:bCs/>
        </w:rPr>
        <w:t xml:space="preserve">04.4(5)(k) </w:t>
      </w:r>
      <w:r w:rsidR="7E53EB68" w:rsidRPr="6E285AE6">
        <w:rPr>
          <w:b/>
          <w:bCs/>
        </w:rPr>
        <w:t>-</w:t>
      </w:r>
      <w:r w:rsidRPr="6E285AE6">
        <w:rPr>
          <w:b/>
          <w:bCs/>
        </w:rPr>
        <w:t xml:space="preserve"> Matters Not Eligible for Change Orders</w:t>
      </w:r>
    </w:p>
    <w:p w14:paraId="37BCADC8" w14:textId="4D08C353" w:rsidR="002607E3" w:rsidRPr="00555AB0" w:rsidRDefault="7197893B" w:rsidP="6E285AE6">
      <w:pPr>
        <w:pStyle w:val="Spec"/>
      </w:pPr>
      <w:r>
        <w:t>“Matters which are the Design</w:t>
      </w:r>
      <w:r w:rsidR="3A987C27">
        <w:t>-</w:t>
      </w:r>
      <w:r>
        <w:t>Builder’s exclusive responsibility include the following: (k) Failure by the Design</w:t>
      </w:r>
      <w:r w:rsidR="3A987C27">
        <w:t>-</w:t>
      </w:r>
      <w:r>
        <w:t>Builder to comply with Contract requirements.”</w:t>
      </w:r>
    </w:p>
    <w:p w14:paraId="5C639E88" w14:textId="6D9A7EFD" w:rsidR="002607E3" w:rsidRPr="002607E3" w:rsidRDefault="7197893B" w:rsidP="6E285AE6">
      <w:pPr>
        <w:pStyle w:val="BodyText"/>
        <w:rPr>
          <w:b/>
          <w:bCs/>
        </w:rPr>
      </w:pPr>
      <w:r w:rsidRPr="6E285AE6">
        <w:rPr>
          <w:b/>
          <w:bCs/>
        </w:rPr>
        <w:t>Section 1</w:t>
      </w:r>
      <w:r w:rsidR="1E08E4E9" w:rsidRPr="6E285AE6">
        <w:rPr>
          <w:b/>
          <w:bCs/>
        </w:rPr>
        <w:t>-</w:t>
      </w:r>
      <w:r w:rsidRPr="6E285AE6">
        <w:rPr>
          <w:b/>
          <w:bCs/>
        </w:rPr>
        <w:t xml:space="preserve">04.5 </w:t>
      </w:r>
      <w:r w:rsidR="7E53EB68" w:rsidRPr="6E285AE6">
        <w:rPr>
          <w:b/>
          <w:bCs/>
        </w:rPr>
        <w:t>-</w:t>
      </w:r>
      <w:r w:rsidRPr="6E285AE6">
        <w:rPr>
          <w:b/>
          <w:bCs/>
        </w:rPr>
        <w:t xml:space="preserve"> Procedure, Protest, and Dispute</w:t>
      </w:r>
      <w:r w:rsidR="706C87A8" w:rsidRPr="6E285AE6">
        <w:rPr>
          <w:b/>
          <w:bCs/>
        </w:rPr>
        <w:t xml:space="preserve"> by the Design-Builder</w:t>
      </w:r>
    </w:p>
    <w:p w14:paraId="5EDE6781" w14:textId="1C38B6B7" w:rsidR="002607E3" w:rsidRPr="00555AB0" w:rsidRDefault="7197893B" w:rsidP="6E285AE6">
      <w:pPr>
        <w:pStyle w:val="Spec"/>
      </w:pPr>
      <w:r>
        <w:t>“</w:t>
      </w:r>
      <w:r w:rsidR="305C02B0">
        <w:t xml:space="preserve">If in disagreement with the WSDOT Engineer’s Written Determination or decision...the Design-Builder shall: </w:t>
      </w:r>
      <w:r>
        <w:t xml:space="preserve">Give a signed Written notice of protest… within 14 Calendar Days… [and] Supplement the Written protest within 14 Calendar Days… with a Written statement and supporting documents…” </w:t>
      </w:r>
    </w:p>
    <w:p w14:paraId="4CDB1CED" w14:textId="3D5DCCB2" w:rsidR="002607E3" w:rsidRPr="002607E3" w:rsidRDefault="7197893B" w:rsidP="6E285AE6">
      <w:pPr>
        <w:pStyle w:val="BodyText"/>
        <w:rPr>
          <w:b/>
          <w:bCs/>
        </w:rPr>
      </w:pPr>
      <w:r w:rsidRPr="6E285AE6">
        <w:rPr>
          <w:b/>
          <w:bCs/>
        </w:rPr>
        <w:t>Sections 1</w:t>
      </w:r>
      <w:r w:rsidR="708181B2" w:rsidRPr="6E285AE6">
        <w:rPr>
          <w:b/>
          <w:bCs/>
        </w:rPr>
        <w:t>-</w:t>
      </w:r>
      <w:r w:rsidRPr="6E285AE6">
        <w:rPr>
          <w:b/>
          <w:bCs/>
        </w:rPr>
        <w:t xml:space="preserve">08.6 </w:t>
      </w:r>
      <w:r w:rsidR="7BB89CE5" w:rsidRPr="6E285AE6">
        <w:rPr>
          <w:b/>
          <w:bCs/>
        </w:rPr>
        <w:t>Suspension of Work</w:t>
      </w:r>
    </w:p>
    <w:p w14:paraId="7BA354CC" w14:textId="0ACC9060" w:rsidR="5A9D406B" w:rsidRDefault="5A9D406B" w:rsidP="6E285AE6">
      <w:pPr>
        <w:pStyle w:val="Spec"/>
      </w:pPr>
      <w:r w:rsidRPr="41851C04">
        <w:t>“If the Design-Builder believes that the performance of the Work is suspended, delayed, or interrupted for an unreasonable period of time and such suspension, delay, or interruption is the responsibility of WSDOT, the Design-Builder shall submit a Written notice of protest to the WSDOT Engineer within 14 Calendar Days of the start of the suspension delay or interruption requesting an equitable adjustment.</w:t>
      </w:r>
      <w:r w:rsidR="0201242E" w:rsidRPr="41851C04">
        <w:t>..</w:t>
      </w:r>
      <w:r w:rsidRPr="41851C04">
        <w:t>.</w:t>
      </w:r>
      <w:r w:rsidR="30B18D6D" w:rsidRPr="41851C04">
        <w:t xml:space="preserve"> Request for extensions of time will be evaluated in accordance with Section 1-08.8.</w:t>
      </w:r>
      <w:r w:rsidRPr="41851C04">
        <w:t>”</w:t>
      </w:r>
    </w:p>
    <w:p w14:paraId="5C38F092" w14:textId="0D2AE7A7" w:rsidR="40E2819C" w:rsidRDefault="40E2819C" w:rsidP="007B5483">
      <w:pPr>
        <w:pStyle w:val="BodyText"/>
        <w:rPr>
          <w:b/>
          <w:bCs/>
        </w:rPr>
      </w:pPr>
      <w:r w:rsidRPr="6E285AE6">
        <w:rPr>
          <w:b/>
          <w:bCs/>
        </w:rPr>
        <w:t>Section 1-08.8 Extensions of Time</w:t>
      </w:r>
    </w:p>
    <w:p w14:paraId="2F0C9E30" w14:textId="5FF72375" w:rsidR="002607E3" w:rsidRPr="00555AB0" w:rsidRDefault="7197893B" w:rsidP="6E285AE6">
      <w:pPr>
        <w:pStyle w:val="Spec"/>
      </w:pPr>
      <w:r>
        <w:t>“The Design</w:t>
      </w:r>
      <w:r w:rsidR="3A987C27">
        <w:t>-</w:t>
      </w:r>
      <w:r>
        <w:t xml:space="preserve">Builder shall submit any requests for time extensions… in writing no later than 14 Calendar Days after the delay occurs… The request shall be limited to demonstrable delays in the Critical Path… Extensions of Contract Time will be allowed only for that period equal to the time </w:t>
      </w:r>
      <w:r>
        <w:lastRenderedPageBreak/>
        <w:t>the WSDOT Engineer determines the Critical Path was delayed… and no extension is allowed for delays not affecting Substantial Completion or resulting from the Design</w:t>
      </w:r>
      <w:r w:rsidR="3A987C27">
        <w:t>-</w:t>
      </w:r>
      <w:r>
        <w:t>Builder’s failure to comply with the Contract.”</w:t>
      </w:r>
    </w:p>
    <w:p w14:paraId="580C7A66" w14:textId="249C1965" w:rsidR="00F13CA3" w:rsidRPr="00D9109D" w:rsidRDefault="5FA8C432" w:rsidP="00D9109D">
      <w:pPr>
        <w:pStyle w:val="Heading2"/>
        <w:rPr>
          <w:sz w:val="24"/>
          <w:szCs w:val="24"/>
        </w:rPr>
      </w:pPr>
      <w:bookmarkStart w:id="11" w:name="_Toc220002716"/>
      <w:r>
        <w:t>RFP Chapter 2</w:t>
      </w:r>
      <w:r w:rsidR="7764F70A">
        <w:t>,</w:t>
      </w:r>
      <w:r>
        <w:t xml:space="preserve"> Technical Requirements</w:t>
      </w:r>
      <w:bookmarkEnd w:id="11"/>
    </w:p>
    <w:p w14:paraId="42084B61" w14:textId="5C621CD4" w:rsidR="0088195B" w:rsidRDefault="0088195B" w:rsidP="6E285AE6">
      <w:pPr>
        <w:pStyle w:val="BodyText"/>
        <w:rPr>
          <w:b/>
          <w:bCs/>
        </w:rPr>
      </w:pPr>
      <w:r>
        <w:rPr>
          <w:b/>
          <w:bCs/>
        </w:rPr>
        <w:t xml:space="preserve">Section 2.13.4.5 – </w:t>
      </w:r>
      <w:r w:rsidRPr="00CD6001">
        <w:rPr>
          <w:b/>
          <w:bCs/>
          <w:i/>
          <w:iCs/>
        </w:rPr>
        <w:t>Stormwater Vaults</w:t>
      </w:r>
    </w:p>
    <w:p w14:paraId="32C426B2" w14:textId="54739D8A" w:rsidR="0088195B" w:rsidRPr="00A52B4B" w:rsidRDefault="0088195B" w:rsidP="00440B5C">
      <w:pPr>
        <w:pStyle w:val="BodyText"/>
        <w:ind w:left="720"/>
        <w:rPr>
          <w:i/>
          <w:iCs/>
        </w:rPr>
      </w:pPr>
      <w:r w:rsidRPr="00A52B4B">
        <w:rPr>
          <w:i/>
          <w:iCs/>
        </w:rPr>
        <w:t>“Stormwater vaults that may carry vehicular loads and that are 20 feet or more in span length (measured from inside face to inside face) shall be load rated in accordance with the WSDOT Bridge Design Manual “</w:t>
      </w:r>
    </w:p>
    <w:p w14:paraId="2CC35B37" w14:textId="2453E86C" w:rsidR="002607E3" w:rsidRPr="002607E3" w:rsidRDefault="7197893B" w:rsidP="6E285AE6">
      <w:pPr>
        <w:pStyle w:val="BodyText"/>
        <w:rPr>
          <w:b/>
          <w:bCs/>
        </w:rPr>
      </w:pPr>
      <w:r w:rsidRPr="6E285AE6">
        <w:rPr>
          <w:b/>
          <w:bCs/>
        </w:rPr>
        <w:t xml:space="preserve">Section 2.13.7.4 </w:t>
      </w:r>
      <w:r w:rsidR="7E53EB68" w:rsidRPr="6E285AE6">
        <w:rPr>
          <w:b/>
          <w:bCs/>
        </w:rPr>
        <w:t>-</w:t>
      </w:r>
      <w:r w:rsidRPr="6E285AE6">
        <w:rPr>
          <w:b/>
          <w:bCs/>
        </w:rPr>
        <w:t xml:space="preserve"> </w:t>
      </w:r>
      <w:r w:rsidRPr="00CD6001">
        <w:rPr>
          <w:b/>
          <w:bCs/>
          <w:i/>
          <w:iCs/>
        </w:rPr>
        <w:t>Load Rating Report</w:t>
      </w:r>
    </w:p>
    <w:p w14:paraId="53B2276C" w14:textId="434ABEA4" w:rsidR="002607E3" w:rsidRPr="00AC3D11" w:rsidRDefault="7197893B" w:rsidP="6E285AE6">
      <w:pPr>
        <w:pStyle w:val="Spec"/>
      </w:pPr>
      <w:r>
        <w:t>“The Design</w:t>
      </w:r>
      <w:r w:rsidR="3A987C27">
        <w:t>-</w:t>
      </w:r>
      <w:r>
        <w:t xml:space="preserve">Builder shall complete and submit a load rating report … </w:t>
      </w:r>
      <w:r w:rsidR="32667014">
        <w:t xml:space="preserve">to WSDOT for Review and Comment </w:t>
      </w:r>
      <w:r>
        <w:t>at least 90 Calendar Days before a structure is opened to vehicular traffic.”</w:t>
      </w:r>
    </w:p>
    <w:p w14:paraId="2545B93B" w14:textId="06A73614" w:rsidR="00EE3B54" w:rsidRPr="00EB04E7" w:rsidRDefault="00EE3B54" w:rsidP="00EE3B54">
      <w:pPr>
        <w:pStyle w:val="Spec"/>
        <w:ind w:left="360"/>
        <w:rPr>
          <w:rFonts w:ascii="Calibri" w:eastAsia="Calibri" w:hAnsi="Calibri" w:cs="Calibri"/>
          <w:b/>
          <w:bCs/>
        </w:rPr>
      </w:pPr>
      <w:r w:rsidRPr="00EB04E7">
        <w:rPr>
          <w:rFonts w:ascii="Calibri" w:eastAsia="Calibri" w:hAnsi="Calibri" w:cs="Calibri"/>
          <w:b/>
          <w:bCs/>
        </w:rPr>
        <w:t xml:space="preserve">Section 2.14.5.2 - Maintenance of Existing and New Stormwater Drainage System  </w:t>
      </w:r>
    </w:p>
    <w:p w14:paraId="7EDFE3DF" w14:textId="0A85206D" w:rsidR="00EE3B54" w:rsidRPr="00EE3B54" w:rsidRDefault="00EE3B54" w:rsidP="00EE3B54">
      <w:pPr>
        <w:pStyle w:val="Spec"/>
      </w:pPr>
      <w:r w:rsidRPr="006B7132">
        <w:t>“The Design-Builder shall be responsible for annual inspections and maintenance of the existing and new stormwater drainage system, as required by WSDOT's National Pollutant Discharge Elimination System permit, within the maintenance responsibility limits described in Section 2.29, Maintenance During Construction. The Design-Builder shall coordinate the initial inspection with the WSDOT Engineer to determine the condition of the existing stormwater drainage system</w:t>
      </w:r>
      <w:r w:rsidR="006B7132" w:rsidRPr="006B7132">
        <w:t>…</w:t>
      </w:r>
      <w:r w:rsidRPr="006B7132">
        <w:t>”</w:t>
      </w:r>
    </w:p>
    <w:p w14:paraId="749F43E1" w14:textId="19BBAC2C" w:rsidR="002607E3" w:rsidRPr="002607E3" w:rsidRDefault="7197893B" w:rsidP="6E285AE6">
      <w:pPr>
        <w:pStyle w:val="BodyText"/>
        <w:rPr>
          <w:b/>
          <w:bCs/>
        </w:rPr>
      </w:pPr>
      <w:r w:rsidRPr="6E285AE6">
        <w:rPr>
          <w:b/>
          <w:bCs/>
        </w:rPr>
        <w:t xml:space="preserve">Section 2.14.5.6 </w:t>
      </w:r>
      <w:r w:rsidR="7E53EB68" w:rsidRPr="6E285AE6">
        <w:rPr>
          <w:b/>
          <w:bCs/>
        </w:rPr>
        <w:t>-</w:t>
      </w:r>
      <w:r w:rsidRPr="6E285AE6">
        <w:rPr>
          <w:b/>
          <w:bCs/>
        </w:rPr>
        <w:t xml:space="preserve"> </w:t>
      </w:r>
      <w:r w:rsidRPr="00CD6001">
        <w:rPr>
          <w:b/>
          <w:bCs/>
          <w:i/>
          <w:iCs/>
        </w:rPr>
        <w:t>Abandonment and Removal of Existing Drainage Structures</w:t>
      </w:r>
    </w:p>
    <w:p w14:paraId="2A2BCED7" w14:textId="6E35E13D" w:rsidR="00EB04E7" w:rsidRPr="00EB04E7" w:rsidRDefault="557443B1" w:rsidP="00EE3B54">
      <w:pPr>
        <w:pStyle w:val="Spec"/>
        <w:rPr>
          <w:rFonts w:ascii="Calibri" w:eastAsia="Calibri" w:hAnsi="Calibri" w:cs="Calibri"/>
          <w:b/>
          <w:bCs/>
        </w:rPr>
      </w:pPr>
      <w:r w:rsidRPr="00D3597D">
        <w:t>“Any existing pipe or other structure, which will be abandoned and will remain under any</w:t>
      </w:r>
      <w:r w:rsidR="324B3EAD" w:rsidRPr="00D3597D">
        <w:t xml:space="preserve"> </w:t>
      </w:r>
      <w:r w:rsidR="324B3EAD" w:rsidRPr="00D3597D">
        <w:rPr>
          <w:rFonts w:ascii="Calibri" w:eastAsia="Calibri" w:hAnsi="Calibri" w:cs="Calibri"/>
        </w:rPr>
        <w:t xml:space="preserve">pavement, shall be filled using methods and materials that ensure the pipe or structure is completely filled in a supported, non-void condition... The following drainage structures shall be filled and abandoned unless otherwise required to be removed: </w:t>
      </w:r>
      <w:r w:rsidR="0BFFE30F" w:rsidRPr="00D3597D">
        <w:rPr>
          <w:rFonts w:ascii="Calibri" w:eastAsia="Calibri" w:hAnsi="Calibri" w:cs="Calibri"/>
        </w:rPr>
        <w:t xml:space="preserve"> </w:t>
      </w:r>
      <w:r w:rsidR="324B3EAD" w:rsidRPr="00D3597D">
        <w:rPr>
          <w:rFonts w:ascii="Calibri" w:eastAsia="Calibri" w:hAnsi="Calibri" w:cs="Calibri"/>
          <w:b/>
          <w:bCs/>
        </w:rPr>
        <w:t>I-405 MP 26.45 - Vault NW12 (I-405 Median)</w:t>
      </w:r>
      <w:r w:rsidR="27118D61" w:rsidRPr="00D3597D">
        <w:rPr>
          <w:rFonts w:ascii="Calibri" w:eastAsia="Calibri" w:hAnsi="Calibri" w:cs="Calibri"/>
          <w:b/>
          <w:bCs/>
        </w:rPr>
        <w:t>”</w:t>
      </w:r>
    </w:p>
    <w:p w14:paraId="6DAADCA1" w14:textId="77777777" w:rsidR="00EB04E7" w:rsidRPr="00EB04E7" w:rsidRDefault="00EB04E7" w:rsidP="00EB04E7">
      <w:pPr>
        <w:pStyle w:val="Spec"/>
        <w:ind w:left="360"/>
        <w:rPr>
          <w:rFonts w:ascii="Calibri" w:eastAsia="Calibri" w:hAnsi="Calibri" w:cs="Calibri"/>
          <w:b/>
          <w:bCs/>
        </w:rPr>
      </w:pPr>
      <w:r w:rsidRPr="00EB04E7">
        <w:rPr>
          <w:rFonts w:ascii="Calibri" w:eastAsia="Calibri" w:hAnsi="Calibri" w:cs="Calibri"/>
          <w:b/>
          <w:bCs/>
        </w:rPr>
        <w:t xml:space="preserve">Section 2.29.1 - Maintenance During Construction – General  </w:t>
      </w:r>
    </w:p>
    <w:p w14:paraId="5A47DE77" w14:textId="50F51A27" w:rsidR="00EB04E7" w:rsidRPr="00EE3B54" w:rsidRDefault="00EB04E7" w:rsidP="00EE3B54">
      <w:pPr>
        <w:pStyle w:val="Spec"/>
      </w:pPr>
      <w:r w:rsidRPr="00EE3B54">
        <w:t>“The Design-Builder shall perform all Work necessary to meet the maintenance requirements described in this Section. Elements of Work shall include operation, maintenance, and repair of the existing facilities and facilities constructed under the Contract beginning at the earlier of the following two milestones: 45 Calendar Days after Notice to Proceed or 7 Calendar Days prior to installation of any High Visibility Fence (HVF), High Visibility Silt Fence, or other Best Management Practices (BMPs); and ending on the day of Physical Completion.”</w:t>
      </w:r>
    </w:p>
    <w:p w14:paraId="122E6495" w14:textId="77777777" w:rsidR="00EB04E7" w:rsidRPr="00EB04E7" w:rsidRDefault="00EB04E7" w:rsidP="00EB04E7">
      <w:pPr>
        <w:pStyle w:val="Spec"/>
        <w:ind w:left="360"/>
        <w:rPr>
          <w:rFonts w:ascii="Calibri" w:eastAsia="Calibri" w:hAnsi="Calibri" w:cs="Calibri"/>
          <w:b/>
          <w:bCs/>
        </w:rPr>
      </w:pPr>
      <w:r w:rsidRPr="00EB04E7">
        <w:rPr>
          <w:rFonts w:ascii="Calibri" w:eastAsia="Calibri" w:hAnsi="Calibri" w:cs="Calibri"/>
          <w:b/>
          <w:bCs/>
        </w:rPr>
        <w:t xml:space="preserve">Section 2.29.4.7 - Stormwater Management  </w:t>
      </w:r>
    </w:p>
    <w:p w14:paraId="1671EA1A" w14:textId="18D56A71" w:rsidR="00EB04E7" w:rsidRPr="00EE3B54" w:rsidRDefault="00EB04E7" w:rsidP="00EE3B54">
      <w:pPr>
        <w:pStyle w:val="Spec"/>
      </w:pPr>
      <w:r w:rsidRPr="00EE3B54">
        <w:t>“The Design-Builder shall maintain and provide adequate stormwater management on the Project until Physical Completion. Maintenance shall include cleaning and repair to maintain the functionality of riprap, cribbing, ditches, channels, culverts, cross-drains, drainage structures, and gutters. Catch basins and BMPs shall be inspected and cleaned once per year in accordance with the WSDOT Highway Runoff Manual.”</w:t>
      </w:r>
    </w:p>
    <w:p w14:paraId="3898358A" w14:textId="0A219EE1" w:rsidR="00507B5F" w:rsidRDefault="00507B5F">
      <w:pPr>
        <w:rPr>
          <w:rFonts w:ascii="Calibri Light" w:eastAsia="Calibri Light" w:hAnsi="Calibri Light" w:cs="Calibri Light"/>
          <w:color w:val="2E5395"/>
          <w:sz w:val="26"/>
          <w:szCs w:val="26"/>
        </w:rPr>
      </w:pPr>
    </w:p>
    <w:p w14:paraId="067D0332" w14:textId="686BDAEB" w:rsidR="0077391D" w:rsidRPr="003647B7" w:rsidRDefault="003647B7" w:rsidP="00A55F37">
      <w:pPr>
        <w:pStyle w:val="Heading2"/>
      </w:pPr>
      <w:bookmarkStart w:id="12" w:name="_Toc220002717"/>
      <w:r w:rsidRPr="003647B7">
        <w:lastRenderedPageBreak/>
        <w:t>Appendices</w:t>
      </w:r>
      <w:bookmarkEnd w:id="12"/>
      <w:r w:rsidR="00A55F37">
        <w:t xml:space="preserve"> </w:t>
      </w:r>
    </w:p>
    <w:p w14:paraId="5AC7D170" w14:textId="64CB7389" w:rsidR="002607E3" w:rsidRPr="006B7132" w:rsidRDefault="002607E3" w:rsidP="00041492">
      <w:pPr>
        <w:pStyle w:val="BodyText"/>
        <w:rPr>
          <w:b/>
          <w:bCs/>
        </w:rPr>
      </w:pPr>
      <w:r w:rsidRPr="006B7132">
        <w:rPr>
          <w:b/>
          <w:bCs/>
        </w:rPr>
        <w:t>Appendix D</w:t>
      </w:r>
      <w:r w:rsidR="00685F2A">
        <w:rPr>
          <w:b/>
          <w:bCs/>
        </w:rPr>
        <w:t>10</w:t>
      </w:r>
      <w:r w:rsidRPr="006B7132">
        <w:rPr>
          <w:b/>
          <w:bCs/>
        </w:rPr>
        <w:t xml:space="preserve"> (M51</w:t>
      </w:r>
      <w:r w:rsidR="001E1E3D" w:rsidRPr="006B7132">
        <w:rPr>
          <w:b/>
          <w:bCs/>
        </w:rPr>
        <w:t>-</w:t>
      </w:r>
      <w:r w:rsidRPr="006B7132">
        <w:rPr>
          <w:b/>
          <w:bCs/>
        </w:rPr>
        <w:t xml:space="preserve">01) </w:t>
      </w:r>
      <w:r w:rsidR="0DC1800C" w:rsidRPr="006B7132">
        <w:rPr>
          <w:b/>
          <w:bCs/>
        </w:rPr>
        <w:t>-</w:t>
      </w:r>
      <w:r w:rsidRPr="006B7132">
        <w:rPr>
          <w:b/>
          <w:bCs/>
        </w:rPr>
        <w:t xml:space="preserve"> WSDOT Maintenance Manua</w:t>
      </w:r>
      <w:r w:rsidR="00E43525">
        <w:rPr>
          <w:b/>
          <w:bCs/>
        </w:rPr>
        <w:t>l</w:t>
      </w:r>
      <w:r w:rsidRPr="006B7132">
        <w:rPr>
          <w:b/>
          <w:bCs/>
        </w:rPr>
        <w:t>:</w:t>
      </w:r>
    </w:p>
    <w:p w14:paraId="016E3EE4" w14:textId="376804FD" w:rsidR="009473F6" w:rsidRDefault="009473F6" w:rsidP="009473F6">
      <w:pPr>
        <w:pStyle w:val="Spec"/>
        <w:ind w:left="360" w:right="360"/>
        <w:rPr>
          <w:i w:val="0"/>
          <w:iCs w:val="0"/>
        </w:rPr>
      </w:pPr>
      <w:r w:rsidRPr="009473F6">
        <w:rPr>
          <w:i w:val="0"/>
          <w:iCs w:val="0"/>
        </w:rPr>
        <w:t>The WSDOT Maintenance Manual (M51-01), included in Appendix D and identified as a Mandatory Standard for Sections 2.14 and 2.29,</w:t>
      </w:r>
      <w:r w:rsidR="00685F2A">
        <w:rPr>
          <w:i w:val="0"/>
          <w:iCs w:val="0"/>
        </w:rPr>
        <w:t xml:space="preserve"> </w:t>
      </w:r>
      <w:r w:rsidR="00685F2A" w:rsidRPr="00685F2A">
        <w:rPr>
          <w:i w:val="0"/>
          <w:iCs w:val="0"/>
        </w:rPr>
        <w:t xml:space="preserve">addresses maintenance requirements for stormwater facilities. Section 4-12 (Detention Ponds, Tanks, and Other Storm Water Treatment Facilities references the Highway Runoff Manual for specific maintenance standards applicable to tanks and vaults. </w:t>
      </w:r>
    </w:p>
    <w:p w14:paraId="19A24A6F" w14:textId="77777777" w:rsidR="00507B5F" w:rsidRDefault="00507B5F" w:rsidP="00507B5F"/>
    <w:p w14:paraId="6B4E10AE" w14:textId="77777777" w:rsidR="00685F2A" w:rsidRDefault="00685F2A" w:rsidP="00507B5F">
      <w:pPr>
        <w:tabs>
          <w:tab w:val="left" w:pos="450"/>
        </w:tabs>
        <w:ind w:left="360"/>
        <w:rPr>
          <w:b/>
          <w:bCs/>
        </w:rPr>
      </w:pPr>
      <w:r w:rsidRPr="00685F2A">
        <w:rPr>
          <w:b/>
          <w:bCs/>
        </w:rPr>
        <w:t xml:space="preserve">Appendix D07 (M31-16) - Highway Runoff Manual, Section 5-5 (Maintenance Standards for Tanks/Vaults) </w:t>
      </w:r>
    </w:p>
    <w:p w14:paraId="40B4AB3C" w14:textId="77777777" w:rsidR="00685F2A" w:rsidRDefault="00685F2A" w:rsidP="00507B5F">
      <w:pPr>
        <w:tabs>
          <w:tab w:val="left" w:pos="450"/>
        </w:tabs>
        <w:ind w:left="360"/>
        <w:rPr>
          <w:b/>
          <w:bCs/>
        </w:rPr>
      </w:pPr>
    </w:p>
    <w:p w14:paraId="1B6C6C31" w14:textId="77777777" w:rsidR="00685F2A" w:rsidRPr="00CD6001" w:rsidRDefault="00685F2A" w:rsidP="00685F2A">
      <w:pPr>
        <w:tabs>
          <w:tab w:val="left" w:pos="450"/>
        </w:tabs>
        <w:ind w:left="360"/>
      </w:pPr>
      <w:r w:rsidRPr="00CD6001">
        <w:t xml:space="preserve">The Highway Runoff Manual establishes maintenance standards for closed treatment systems including tanks and vaults. Table 5-12 defines specific thresholds for when maintenance is required on storage vaults.  </w:t>
      </w:r>
    </w:p>
    <w:p w14:paraId="297F4A6D" w14:textId="77777777" w:rsidR="00685F2A" w:rsidRPr="00CD6001" w:rsidRDefault="00685F2A" w:rsidP="00685F2A">
      <w:pPr>
        <w:tabs>
          <w:tab w:val="left" w:pos="450"/>
        </w:tabs>
        <w:ind w:left="360"/>
      </w:pPr>
    </w:p>
    <w:p w14:paraId="33634081" w14:textId="1FD3E5F5" w:rsidR="00685F2A" w:rsidRPr="00CD6001" w:rsidRDefault="00685F2A" w:rsidP="00685F2A">
      <w:pPr>
        <w:tabs>
          <w:tab w:val="left" w:pos="450"/>
        </w:tabs>
        <w:ind w:left="360"/>
      </w:pPr>
      <w:r w:rsidRPr="00CD6001">
        <w:t xml:space="preserve">These provisions inform how WSDOT evaluates a reasonable maintenance cleanout scope when deferred maintenance is brough current under TR 2.14.5.2 and TR 2.29.4.7.  </w:t>
      </w:r>
    </w:p>
    <w:p w14:paraId="01AE662A" w14:textId="77777777" w:rsidR="00685F2A" w:rsidRPr="00685F2A" w:rsidRDefault="00685F2A" w:rsidP="00685F2A">
      <w:pPr>
        <w:tabs>
          <w:tab w:val="left" w:pos="450"/>
        </w:tabs>
        <w:ind w:left="360"/>
        <w:rPr>
          <w:b/>
          <w:bCs/>
        </w:rPr>
      </w:pPr>
    </w:p>
    <w:p w14:paraId="4E99ABF5" w14:textId="7EEC00A4" w:rsidR="00685F2A" w:rsidRDefault="00685F2A" w:rsidP="00685F2A">
      <w:pPr>
        <w:tabs>
          <w:tab w:val="left" w:pos="450"/>
        </w:tabs>
        <w:ind w:left="360"/>
      </w:pPr>
      <w:r w:rsidRPr="00CD6001">
        <w:t xml:space="preserve">Per Table 5-12, maintenance is required when: </w:t>
      </w:r>
    </w:p>
    <w:p w14:paraId="59791B1D" w14:textId="77777777" w:rsidR="00685F2A" w:rsidRPr="00685F2A" w:rsidRDefault="00685F2A" w:rsidP="00685F2A">
      <w:pPr>
        <w:tabs>
          <w:tab w:val="left" w:pos="450"/>
        </w:tabs>
        <w:ind w:left="360"/>
        <w:rPr>
          <w:b/>
          <w:bCs/>
        </w:rPr>
      </w:pPr>
    </w:p>
    <w:p w14:paraId="7866B29D" w14:textId="77777777" w:rsidR="00685F2A" w:rsidRPr="00CD6001" w:rsidRDefault="00685F2A" w:rsidP="00CD6001">
      <w:pPr>
        <w:pStyle w:val="ListParagraph"/>
        <w:numPr>
          <w:ilvl w:val="0"/>
          <w:numId w:val="22"/>
        </w:numPr>
        <w:tabs>
          <w:tab w:val="left" w:pos="450"/>
        </w:tabs>
      </w:pPr>
      <w:r w:rsidRPr="00685F2A">
        <w:rPr>
          <w:b/>
          <w:bCs/>
        </w:rPr>
        <w:t>Plugged air vents:</w:t>
      </w:r>
      <w:r w:rsidRPr="00CD6001">
        <w:t xml:space="preserve"> One-half of the cross section of a vent is blocked at any point or the vent is damaged. </w:t>
      </w:r>
    </w:p>
    <w:p w14:paraId="089C6380" w14:textId="77777777" w:rsidR="00685F2A" w:rsidRPr="00CD6001" w:rsidRDefault="00685F2A" w:rsidP="00CD6001">
      <w:pPr>
        <w:pStyle w:val="ListParagraph"/>
        <w:numPr>
          <w:ilvl w:val="0"/>
          <w:numId w:val="22"/>
        </w:numPr>
        <w:tabs>
          <w:tab w:val="left" w:pos="450"/>
        </w:tabs>
      </w:pPr>
      <w:r w:rsidRPr="00685F2A">
        <w:rPr>
          <w:b/>
          <w:bCs/>
        </w:rPr>
        <w:t xml:space="preserve">Debris and sediment: </w:t>
      </w:r>
      <w:r w:rsidRPr="00CD6001">
        <w:t xml:space="preserve">Accumulated sediment depth exceeds 10% of the diameter of the storage area for ½ length of storage vault or any point depth exceeds 15% of diameter. </w:t>
      </w:r>
    </w:p>
    <w:p w14:paraId="476F5096" w14:textId="77777777" w:rsidR="00685F2A" w:rsidRPr="00CD6001" w:rsidRDefault="00685F2A" w:rsidP="00CD6001">
      <w:pPr>
        <w:pStyle w:val="ListParagraph"/>
        <w:numPr>
          <w:ilvl w:val="0"/>
          <w:numId w:val="22"/>
        </w:numPr>
        <w:tabs>
          <w:tab w:val="left" w:pos="450"/>
        </w:tabs>
      </w:pPr>
      <w:r w:rsidRPr="00685F2A">
        <w:rPr>
          <w:b/>
          <w:bCs/>
        </w:rPr>
        <w:t xml:space="preserve">Joints between tank/pipe section: </w:t>
      </w:r>
      <w:r w:rsidRPr="00CD6001">
        <w:t xml:space="preserve">Openings or voids allow material to be transported into facility. (Will require engineering analysis to determine structural stability.) </w:t>
      </w:r>
    </w:p>
    <w:p w14:paraId="2895314C" w14:textId="77777777" w:rsidR="00685F2A" w:rsidRPr="00CD6001" w:rsidRDefault="00685F2A" w:rsidP="00CD6001">
      <w:pPr>
        <w:pStyle w:val="ListParagraph"/>
        <w:numPr>
          <w:ilvl w:val="0"/>
          <w:numId w:val="22"/>
        </w:numPr>
        <w:tabs>
          <w:tab w:val="left" w:pos="450"/>
        </w:tabs>
      </w:pPr>
      <w:r w:rsidRPr="00685F2A">
        <w:rPr>
          <w:b/>
          <w:bCs/>
        </w:rPr>
        <w:t>Tank/pipe bent out of shape</w:t>
      </w:r>
      <w:r w:rsidRPr="00CD6001">
        <w:t xml:space="preserve">: Any part of tank/pipe is bent out of shape for more than 10% of its design shape. (Review required by engineer to determine structural stability.) </w:t>
      </w:r>
    </w:p>
    <w:p w14:paraId="18E3E226" w14:textId="77777777" w:rsidR="00685F2A" w:rsidRPr="00CD6001" w:rsidRDefault="00685F2A" w:rsidP="00CD6001">
      <w:pPr>
        <w:pStyle w:val="ListParagraph"/>
        <w:numPr>
          <w:ilvl w:val="0"/>
          <w:numId w:val="22"/>
        </w:numPr>
        <w:tabs>
          <w:tab w:val="left" w:pos="450"/>
        </w:tabs>
      </w:pPr>
      <w:r w:rsidRPr="00685F2A">
        <w:rPr>
          <w:b/>
          <w:bCs/>
        </w:rPr>
        <w:t>Vault structure (cracks in walls or bottom, damage to frame or top slab):</w:t>
      </w:r>
      <w:r w:rsidRPr="00CD6001">
        <w:t xml:space="preserve"> Cracks are wider than ½ inch and there is evidence of soil particles entering the structure through the cracks, or maintenance/inspection personnel determine that the vault is not structurally sound. </w:t>
      </w:r>
    </w:p>
    <w:p w14:paraId="5FB9E03B" w14:textId="1320381B" w:rsidR="00685F2A" w:rsidRDefault="00685F2A" w:rsidP="00CD6001">
      <w:pPr>
        <w:pStyle w:val="ListParagraph"/>
        <w:numPr>
          <w:ilvl w:val="0"/>
          <w:numId w:val="22"/>
        </w:numPr>
        <w:tabs>
          <w:tab w:val="left" w:pos="450"/>
        </w:tabs>
      </w:pPr>
      <w:r w:rsidRPr="00685F2A">
        <w:rPr>
          <w:b/>
          <w:bCs/>
        </w:rPr>
        <w:t>Cracks at inlet/outlet pipe joints</w:t>
      </w:r>
      <w:r w:rsidRPr="00CD6001">
        <w:t>: Cracks are wider than ½ inch at the joint of any inlet/outlet pipe, or there is evidence of soil particles entering the vault through the walls.</w:t>
      </w:r>
    </w:p>
    <w:p w14:paraId="57AADA9A" w14:textId="77777777" w:rsidR="00685F2A" w:rsidRPr="00CD6001" w:rsidRDefault="00685F2A" w:rsidP="00685F2A">
      <w:pPr>
        <w:tabs>
          <w:tab w:val="left" w:pos="450"/>
        </w:tabs>
        <w:ind w:left="360"/>
      </w:pPr>
    </w:p>
    <w:p w14:paraId="020E44FE" w14:textId="6AABE695" w:rsidR="00507B5F" w:rsidRPr="00507B5F" w:rsidRDefault="00507B5F" w:rsidP="00507B5F">
      <w:pPr>
        <w:tabs>
          <w:tab w:val="left" w:pos="450"/>
        </w:tabs>
        <w:ind w:left="360"/>
        <w:rPr>
          <w:b/>
          <w:bCs/>
        </w:rPr>
      </w:pPr>
      <w:r w:rsidRPr="00507B5F">
        <w:rPr>
          <w:b/>
          <w:bCs/>
        </w:rPr>
        <w:t>Appendix N1 – Vault NW12 As</w:t>
      </w:r>
      <w:r w:rsidRPr="00507B5F">
        <w:rPr>
          <w:rFonts w:ascii="Cambria Math" w:hAnsi="Cambria Math" w:cs="Cambria Math"/>
          <w:b/>
          <w:bCs/>
        </w:rPr>
        <w:t>‑</w:t>
      </w:r>
      <w:r w:rsidRPr="00507B5F">
        <w:rPr>
          <w:b/>
          <w:bCs/>
        </w:rPr>
        <w:t xml:space="preserve">Built / Reference Drawings  </w:t>
      </w:r>
      <w:r>
        <w:rPr>
          <w:b/>
          <w:bCs/>
        </w:rPr>
        <w:br/>
      </w:r>
    </w:p>
    <w:p w14:paraId="78796E61" w14:textId="654951FB" w:rsidR="00507B5F" w:rsidRDefault="00507B5F" w:rsidP="00507B5F">
      <w:pPr>
        <w:tabs>
          <w:tab w:val="left" w:pos="450"/>
        </w:tabs>
        <w:ind w:left="360"/>
      </w:pPr>
      <w:r>
        <w:t>Appendix N1 contains the as</w:t>
      </w:r>
      <w:r>
        <w:rPr>
          <w:rFonts w:ascii="Cambria Math" w:hAnsi="Cambria Math" w:cs="Cambria Math"/>
        </w:rPr>
        <w:t>‑</w:t>
      </w:r>
      <w:r>
        <w:t>built drawings for Vault NW12 that were provided as Reference Documents under GP 1</w:t>
      </w:r>
      <w:r>
        <w:rPr>
          <w:rFonts w:ascii="Cambria Math" w:hAnsi="Cambria Math" w:cs="Cambria Math"/>
        </w:rPr>
        <w:t>‑</w:t>
      </w:r>
      <w:r>
        <w:t>01.3 and 1</w:t>
      </w:r>
      <w:r>
        <w:rPr>
          <w:rFonts w:ascii="Cambria Math" w:hAnsi="Cambria Math" w:cs="Cambria Math"/>
        </w:rPr>
        <w:t>‑</w:t>
      </w:r>
      <w:r>
        <w:t>02.2 and listed in Appendix A1. Under the Contract, they are relied upon at the Design</w:t>
      </w:r>
      <w:r>
        <w:rPr>
          <w:rFonts w:ascii="Cambria Math" w:hAnsi="Cambria Math" w:cs="Cambria Math"/>
        </w:rPr>
        <w:t>‑</w:t>
      </w:r>
      <w:r>
        <w:t>Builder’s risk.</w:t>
      </w:r>
    </w:p>
    <w:p w14:paraId="658C8297" w14:textId="77777777" w:rsidR="00507B5F" w:rsidRDefault="00507B5F" w:rsidP="00507B5F"/>
    <w:p w14:paraId="64FE03F1" w14:textId="6B417955" w:rsidR="00A55F37" w:rsidRDefault="00A55F37" w:rsidP="00A55F37">
      <w:pPr>
        <w:pStyle w:val="Heading2"/>
      </w:pPr>
      <w:bookmarkStart w:id="13" w:name="_Toc220002718"/>
      <w:r>
        <w:t>Applicable Washington State Law</w:t>
      </w:r>
      <w:bookmarkEnd w:id="13"/>
    </w:p>
    <w:p w14:paraId="065CCAAB" w14:textId="71A12127" w:rsidR="00A55F37" w:rsidRDefault="00342D24" w:rsidP="0011302C">
      <w:pPr>
        <w:pStyle w:val="BodyText"/>
      </w:pPr>
      <w:r>
        <w:t>The following Washington statutes and regulations may be relevant if utility classification arguments are raised. While not part of the Contract, they inform the legal framework governing underground facilities on state highways.</w:t>
      </w:r>
    </w:p>
    <w:p w14:paraId="2313A65C" w14:textId="2F216C72" w:rsidR="008C16A9" w:rsidRPr="0011302C" w:rsidRDefault="00A55F37" w:rsidP="0011302C">
      <w:pPr>
        <w:pStyle w:val="BodyText"/>
        <w:rPr>
          <w:b/>
          <w:bCs/>
        </w:rPr>
      </w:pPr>
      <w:r>
        <w:rPr>
          <w:b/>
          <w:bCs/>
        </w:rPr>
        <w:t>WAC 468-34-110(52) – Definition of Util</w:t>
      </w:r>
      <w:r w:rsidR="00342D24">
        <w:rPr>
          <w:b/>
          <w:bCs/>
        </w:rPr>
        <w:t>i</w:t>
      </w:r>
      <w:r>
        <w:rPr>
          <w:b/>
          <w:bCs/>
        </w:rPr>
        <w:t>ty</w:t>
      </w:r>
      <w:r>
        <w:t xml:space="preserve"> </w:t>
      </w:r>
    </w:p>
    <w:p w14:paraId="592923D9" w14:textId="25364C7F" w:rsidR="008C16A9" w:rsidRDefault="008C16A9" w:rsidP="0011302C">
      <w:pPr>
        <w:pStyle w:val="BodyText"/>
      </w:pPr>
      <w:r>
        <w:lastRenderedPageBreak/>
        <w:t>“(52) Utility - A term denoting electric power, communication, cable television, water, gas, oil, petroleum products, steam, chemicals, sewage, drainage, irrigation, fire or police signal systems, and similar lines. Also, the term utility includes those utility-type facilities which are owned or leased by a government agency for its own use, or otherwise dedicated solely to governmental use. The term utility does not include utility-type facilities required for the support, control, operation, and maintenance of the highway system, if they are owned and controlled by the highway authority.”</w:t>
      </w:r>
      <w:r w:rsidR="00932D61">
        <w:t xml:space="preserve"> https://app.leg.wa.gov/wac/default.aspx?cite=468-34-110</w:t>
      </w:r>
    </w:p>
    <w:p w14:paraId="204F4661" w14:textId="70A92D28" w:rsidR="00932D61" w:rsidRDefault="008C16A9" w:rsidP="0011302C">
      <w:pPr>
        <w:pStyle w:val="BodyText"/>
      </w:pPr>
      <w:r w:rsidRPr="008C16A9">
        <w:t>This definition has three structural elements: (1) it lists the types of facilities that ARE utilities; (2) it clarifies that even government-owned utility-type facilities are included if they serve governmental use; but (3) it explicitly excludes "utility-type facilities required for the support, control, operation, and maintenance of the highway system, if they are owned and controlled by the highway authority."</w:t>
      </w:r>
    </w:p>
    <w:p w14:paraId="6D58C3A8" w14:textId="6506C3E5" w:rsidR="00932D61" w:rsidRPr="0011302C" w:rsidRDefault="00932D61" w:rsidP="008C16A9">
      <w:pPr>
        <w:pStyle w:val="BodyText"/>
        <w:rPr>
          <w:b/>
          <w:bCs/>
        </w:rPr>
      </w:pPr>
      <w:r w:rsidRPr="0011302C">
        <w:rPr>
          <w:b/>
          <w:bCs/>
        </w:rPr>
        <w:t>RCW 19.122 - Underground Utilities ("Dig Law")</w:t>
      </w:r>
    </w:p>
    <w:p w14:paraId="12FAE6F0" w14:textId="6EBA0044" w:rsidR="0063543A" w:rsidRDefault="0063543A" w:rsidP="0011302C">
      <w:pPr>
        <w:pStyle w:val="BodyText"/>
      </w:pPr>
      <w:r w:rsidRPr="0063543A">
        <w:t>Washington's Underground Utility Damage Prevention Act (RCW 19.122) establishes requirements for locating underground facilities before excavation (full text: https://app.leg.wa.gov/rcw/default.aspx?cite=19.122). Key provisions:</w:t>
      </w:r>
    </w:p>
    <w:p w14:paraId="10848407" w14:textId="1A3B445A" w:rsidR="0063543A" w:rsidRDefault="0063543A" w:rsidP="0011302C">
      <w:pPr>
        <w:pStyle w:val="BodyText"/>
      </w:pPr>
      <w:r w:rsidRPr="0063543A">
        <w:t>RCW 19.122.020(37): "Unlocatable underground facility" explicitly includes "storm drains" as facilities that cannot be marked with reasonable accuracy.</w:t>
      </w:r>
    </w:p>
    <w:p w14:paraId="22921F96" w14:textId="06EBAC3D" w:rsidR="0063543A" w:rsidRDefault="0063543A" w:rsidP="0011302C">
      <w:pPr>
        <w:pStyle w:val="BodyText"/>
      </w:pPr>
      <w:r w:rsidRPr="0063543A">
        <w:t>RCW 19.122.040(1)</w:t>
      </w:r>
      <w:r>
        <w:t>:</w:t>
      </w:r>
      <w:r w:rsidRPr="0063543A">
        <w:t xml:space="preserve"> "Project owners shall indicate in bid or contract documents the existence of underground facilities **known by the project owner** to be located within the proposed area of excavation."</w:t>
      </w:r>
    </w:p>
    <w:p w14:paraId="48899263" w14:textId="351522FA" w:rsidR="005C746B" w:rsidRDefault="0063543A" w:rsidP="0011302C">
      <w:pPr>
        <w:pStyle w:val="BodyText"/>
      </w:pPr>
      <w:r w:rsidRPr="0063543A">
        <w:t>RCW 19.122.040(2): "An excavator shall use reasonable care** to avoid damaging underground facilities. An excavator must: (a) Determine the precise location of underground facilities which have been marked..."</w:t>
      </w:r>
    </w:p>
    <w:p w14:paraId="6B234BBC" w14:textId="3E381449" w:rsidR="005C746B" w:rsidRDefault="005C746B" w:rsidP="008C16A9">
      <w:pPr>
        <w:pStyle w:val="BodyText"/>
      </w:pPr>
      <w:r w:rsidRPr="005C746B">
        <w:t>The statute places disclosure obligations on project owners only for facilities "known" to them, while requiring excavators to exercise "reasonable care" including verification of locations.</w:t>
      </w:r>
    </w:p>
    <w:p w14:paraId="0603905F" w14:textId="55EAFDEC" w:rsidR="00A55F37" w:rsidRDefault="0011302C">
      <w:pPr>
        <w:rPr>
          <w:rFonts w:ascii="Calibri Light" w:eastAsia="Calibri Light" w:hAnsi="Calibri Light" w:cs="Calibri Light"/>
          <w:color w:val="2E5395"/>
          <w:spacing w:val="-2"/>
          <w:sz w:val="32"/>
          <w:szCs w:val="32"/>
        </w:rPr>
      </w:pPr>
      <w:r>
        <w:rPr>
          <w:rFonts w:ascii="Calibri Light" w:eastAsia="Calibri Light" w:hAnsi="Calibri Light" w:cs="Calibri Light"/>
          <w:color w:val="2E5395"/>
          <w:spacing w:val="-2"/>
          <w:sz w:val="32"/>
          <w:szCs w:val="32"/>
        </w:rPr>
        <w:br w:type="page"/>
      </w:r>
    </w:p>
    <w:p w14:paraId="5B6AA429" w14:textId="06899815" w:rsidR="006373ED" w:rsidRDefault="07730DDF" w:rsidP="002762A2">
      <w:pPr>
        <w:pStyle w:val="Heading1"/>
      </w:pPr>
      <w:bookmarkStart w:id="14" w:name="_Toc220002719"/>
      <w:r>
        <w:lastRenderedPageBreak/>
        <w:t>Discussion</w:t>
      </w:r>
      <w:r w:rsidR="5142E1A0">
        <w:t xml:space="preserve"> </w:t>
      </w:r>
      <w:r w:rsidR="3DB47C90">
        <w:t>and Chronology</w:t>
      </w:r>
      <w:bookmarkEnd w:id="14"/>
    </w:p>
    <w:p w14:paraId="6265F580" w14:textId="7AF5D043" w:rsidR="30C191A4" w:rsidRDefault="00F2631F" w:rsidP="6E285AE6">
      <w:pPr>
        <w:pStyle w:val="BodyText"/>
      </w:pPr>
      <w:r>
        <w:rPr>
          <w:noProof/>
        </w:rPr>
        <w:drawing>
          <wp:inline distT="0" distB="0" distL="0" distR="0" wp14:anchorId="434385DD" wp14:editId="4811584E">
            <wp:extent cx="6400800" cy="7627620"/>
            <wp:effectExtent l="19050" t="19050" r="19050" b="11430"/>
            <wp:docPr id="1463672710" name="Picture 1" descr="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672710" name="Picture 1" descr="Timeline"/>
                    <pic:cNvPicPr/>
                  </pic:nvPicPr>
                  <pic:blipFill>
                    <a:blip r:embed="rId12">
                      <a:extLst>
                        <a:ext uri="{28A0092B-C50C-407E-A947-70E740481C1C}">
                          <a14:useLocalDpi xmlns:a14="http://schemas.microsoft.com/office/drawing/2010/main" val="0"/>
                        </a:ext>
                      </a:extLst>
                    </a:blip>
                    <a:stretch>
                      <a:fillRect/>
                    </a:stretch>
                  </pic:blipFill>
                  <pic:spPr>
                    <a:xfrm>
                      <a:off x="0" y="0"/>
                      <a:ext cx="6400800" cy="7627620"/>
                    </a:xfrm>
                    <a:prstGeom prst="rect">
                      <a:avLst/>
                    </a:prstGeom>
                    <a:ln>
                      <a:solidFill>
                        <a:schemeClr val="tx1"/>
                      </a:solidFill>
                    </a:ln>
                  </pic:spPr>
                </pic:pic>
              </a:graphicData>
            </a:graphic>
          </wp:inline>
        </w:drawing>
      </w:r>
    </w:p>
    <w:p w14:paraId="03CD2E43" w14:textId="4854E777" w:rsidR="00215CB5" w:rsidRDefault="00215CB5" w:rsidP="6E285AE6">
      <w:pPr>
        <w:pStyle w:val="BodyText"/>
      </w:pPr>
      <w:r w:rsidRPr="00215CB5">
        <w:lastRenderedPageBreak/>
        <w:t>On 2025</w:t>
      </w:r>
      <w:r w:rsidRPr="00215CB5">
        <w:rPr>
          <w:rFonts w:ascii="Cambria Math" w:hAnsi="Cambria Math" w:cs="Cambria Math"/>
        </w:rPr>
        <w:t>‑</w:t>
      </w:r>
      <w:r w:rsidRPr="00215CB5">
        <w:t>02</w:t>
      </w:r>
      <w:r w:rsidRPr="00215CB5">
        <w:rPr>
          <w:rFonts w:ascii="Cambria Math" w:hAnsi="Cambria Math" w:cs="Cambria Math"/>
        </w:rPr>
        <w:t>‑</w:t>
      </w:r>
      <w:r w:rsidRPr="00215CB5">
        <w:t>13, with Skanska LTR 124, the Design</w:t>
      </w:r>
      <w:r w:rsidRPr="00215CB5">
        <w:rPr>
          <w:rFonts w:ascii="Cambria Math" w:hAnsi="Cambria Math" w:cs="Cambria Math"/>
        </w:rPr>
        <w:t>‑</w:t>
      </w:r>
      <w:r w:rsidRPr="00215CB5">
        <w:t>Builder requested an Owner</w:t>
      </w:r>
      <w:r w:rsidRPr="00215CB5">
        <w:rPr>
          <w:rFonts w:ascii="Cambria Math" w:hAnsi="Cambria Math" w:cs="Cambria Math"/>
        </w:rPr>
        <w:t>‑</w:t>
      </w:r>
      <w:r w:rsidRPr="00215CB5">
        <w:t>Initiated Change to capture investigation and potential design/construction impacts after discovering the size of Vault NW12 was larger than represented in Appendix N, while cleaning was underway to enable inspection and survey. This letter establishes an initial condition</w:t>
      </w:r>
      <w:r w:rsidRPr="00215CB5">
        <w:rPr>
          <w:rFonts w:ascii="Cambria Math" w:hAnsi="Cambria Math" w:cs="Cambria Math"/>
        </w:rPr>
        <w:t>‑</w:t>
      </w:r>
      <w:r w:rsidRPr="00215CB5">
        <w:t xml:space="preserve">based request and frames reliance on contract documentation later addressed under General Provisions </w:t>
      </w:r>
      <w:r w:rsidR="00EE677C">
        <w:t xml:space="preserve">(GP) </w:t>
      </w:r>
      <w:r w:rsidRPr="00215CB5">
        <w:t>1</w:t>
      </w:r>
      <w:r w:rsidRPr="00215CB5">
        <w:rPr>
          <w:rFonts w:ascii="Cambria Math" w:hAnsi="Cambria Math" w:cs="Cambria Math"/>
        </w:rPr>
        <w:t>‑</w:t>
      </w:r>
      <w:r w:rsidRPr="00215CB5">
        <w:t>04.5.</w:t>
      </w:r>
    </w:p>
    <w:p w14:paraId="4C54EE9E" w14:textId="0FE4C8B8" w:rsidR="009924BD" w:rsidRDefault="009924BD" w:rsidP="6E285AE6">
      <w:pPr>
        <w:pStyle w:val="BodyText"/>
      </w:pPr>
      <w:r w:rsidRPr="009924BD">
        <w:t>On 2025</w:t>
      </w:r>
      <w:r w:rsidRPr="009924BD">
        <w:rPr>
          <w:rFonts w:ascii="Cambria Math" w:hAnsi="Cambria Math" w:cs="Cambria Math"/>
        </w:rPr>
        <w:t>‑</w:t>
      </w:r>
      <w:r w:rsidRPr="009924BD">
        <w:t>02</w:t>
      </w:r>
      <w:r w:rsidRPr="009924BD">
        <w:rPr>
          <w:rFonts w:ascii="Cambria Math" w:hAnsi="Cambria Math" w:cs="Cambria Math"/>
        </w:rPr>
        <w:t>‑</w:t>
      </w:r>
      <w:r w:rsidRPr="009924BD">
        <w:t>21, with WSDOT SL 079, WSDOT denied merit for an Owner</w:t>
      </w:r>
      <w:r w:rsidRPr="009924BD">
        <w:rPr>
          <w:rFonts w:ascii="Cambria Math" w:hAnsi="Cambria Math" w:cs="Cambria Math"/>
        </w:rPr>
        <w:t>‑</w:t>
      </w:r>
      <w:r w:rsidRPr="009924BD">
        <w:t>Initiated Change and emphasized that Appendix N1 is a Reference Document used at the Design</w:t>
      </w:r>
      <w:r w:rsidRPr="009924BD">
        <w:rPr>
          <w:rFonts w:ascii="Cambria Math" w:hAnsi="Cambria Math" w:cs="Cambria Math"/>
        </w:rPr>
        <w:t>‑</w:t>
      </w:r>
      <w:r w:rsidRPr="009924BD">
        <w:t>Builder’s risk, citing the definitions of “Reference Documents” and the disclaimer regarding documentation. This anchors WSDOT’s early position that reliance on Appendix N1 does not support a compensable change.</w:t>
      </w:r>
    </w:p>
    <w:p w14:paraId="2C51C826" w14:textId="6D1FB934" w:rsidR="00155A41" w:rsidRDefault="00155A41" w:rsidP="6E285AE6">
      <w:pPr>
        <w:pStyle w:val="BodyText"/>
      </w:pPr>
      <w:r w:rsidRPr="00155A41">
        <w:t>On 2025</w:t>
      </w:r>
      <w:r w:rsidRPr="00155A41">
        <w:rPr>
          <w:rFonts w:ascii="Cambria Math" w:hAnsi="Cambria Math" w:cs="Cambria Math"/>
        </w:rPr>
        <w:t>‑</w:t>
      </w:r>
      <w:r w:rsidRPr="00155A41">
        <w:t>03</w:t>
      </w:r>
      <w:r w:rsidRPr="00155A41">
        <w:rPr>
          <w:rFonts w:ascii="Cambria Math" w:hAnsi="Cambria Math" w:cs="Cambria Math"/>
        </w:rPr>
        <w:t>‑</w:t>
      </w:r>
      <w:r w:rsidRPr="00155A41">
        <w:t>06, with Skanska LTR 145, the Design</w:t>
      </w:r>
      <w:r w:rsidRPr="00155A41">
        <w:rPr>
          <w:rFonts w:ascii="Cambria Math" w:hAnsi="Cambria Math" w:cs="Cambria Math"/>
        </w:rPr>
        <w:t>‑</w:t>
      </w:r>
      <w:r w:rsidRPr="00155A41">
        <w:t xml:space="preserve">Builder requested reconsideration, citing misrepresentation and extraordinary vault size while cleaning continued to allow inspection and survey. This signals escalation toward protest procedures under </w:t>
      </w:r>
      <w:r w:rsidR="00182156">
        <w:t xml:space="preserve">GP </w:t>
      </w:r>
      <w:r w:rsidRPr="00155A41">
        <w:t>1</w:t>
      </w:r>
      <w:r w:rsidRPr="00155A41">
        <w:rPr>
          <w:rFonts w:ascii="Cambria Math" w:hAnsi="Cambria Math" w:cs="Cambria Math"/>
        </w:rPr>
        <w:t>‑</w:t>
      </w:r>
      <w:r w:rsidRPr="00155A41">
        <w:t>04.5 if reconsideration were not granted.</w:t>
      </w:r>
    </w:p>
    <w:p w14:paraId="1AA2D32F" w14:textId="297C0307" w:rsidR="07CEDDC3" w:rsidRDefault="07CEDDC3" w:rsidP="6E285AE6">
      <w:pPr>
        <w:pStyle w:val="BodyText"/>
      </w:pPr>
      <w:r w:rsidRPr="6E285AE6">
        <w:t>On 2025</w:t>
      </w:r>
      <w:r w:rsidRPr="6E285AE6">
        <w:rPr>
          <w:rFonts w:ascii="Cambria Math" w:hAnsi="Cambria Math" w:cs="Cambria Math"/>
        </w:rPr>
        <w:t>‑</w:t>
      </w:r>
      <w:r w:rsidRPr="6E285AE6">
        <w:t>03</w:t>
      </w:r>
      <w:r w:rsidRPr="6E285AE6">
        <w:rPr>
          <w:rFonts w:ascii="Cambria Math" w:hAnsi="Cambria Math" w:cs="Cambria Math"/>
        </w:rPr>
        <w:t>‑</w:t>
      </w:r>
      <w:r w:rsidRPr="6E285AE6">
        <w:t>20, with WSDOT SL 088, WSDOT confirmed no change condition and no cost/time adjustment, and requested specific records/photographs if conditions were believed unanticipated.</w:t>
      </w:r>
      <w:r w:rsidR="003D1D79">
        <w:t xml:space="preserve"> The letter reiterated </w:t>
      </w:r>
      <w:r w:rsidR="00D24D26">
        <w:t>the classifica</w:t>
      </w:r>
      <w:r w:rsidR="00283B97">
        <w:t>tion of Appendix N as a</w:t>
      </w:r>
      <w:r w:rsidR="00D24D26">
        <w:t xml:space="preserve"> Reference Document</w:t>
      </w:r>
      <w:r w:rsidR="00283B97">
        <w:t xml:space="preserve"> and the risk for reliance on such documents</w:t>
      </w:r>
      <w:r w:rsidR="00D24D26">
        <w:t>.</w:t>
      </w:r>
    </w:p>
    <w:p w14:paraId="0DFC3D5A" w14:textId="7668A1DC" w:rsidR="07CEDDC3" w:rsidRDefault="07CEDDC3" w:rsidP="6E285AE6">
      <w:pPr>
        <w:pStyle w:val="BodyText"/>
      </w:pPr>
      <w:r w:rsidRPr="6E285AE6">
        <w:t>On 2025</w:t>
      </w:r>
      <w:r w:rsidRPr="6E285AE6">
        <w:rPr>
          <w:rFonts w:ascii="Cambria Math" w:hAnsi="Cambria Math" w:cs="Cambria Math"/>
        </w:rPr>
        <w:t>‑</w:t>
      </w:r>
      <w:r w:rsidRPr="6E285AE6">
        <w:t>04</w:t>
      </w:r>
      <w:r w:rsidRPr="6E285AE6">
        <w:rPr>
          <w:rFonts w:ascii="Cambria Math" w:hAnsi="Cambria Math" w:cs="Cambria Math"/>
        </w:rPr>
        <w:t>‑</w:t>
      </w:r>
      <w:r w:rsidRPr="6E285AE6">
        <w:t xml:space="preserve">01, with Skanska </w:t>
      </w:r>
      <w:r w:rsidR="0052592B">
        <w:t>LTR</w:t>
      </w:r>
      <w:r w:rsidRPr="6E285AE6">
        <w:t xml:space="preserve"> 165, the Design</w:t>
      </w:r>
      <w:r w:rsidRPr="6E285AE6">
        <w:rPr>
          <w:rFonts w:ascii="Cambria Math" w:hAnsi="Cambria Math" w:cs="Cambria Math"/>
        </w:rPr>
        <w:t>‑</w:t>
      </w:r>
      <w:r w:rsidRPr="6E285AE6">
        <w:t>Builder filed Notice of Protest 001 disputing SL</w:t>
      </w:r>
      <w:r w:rsidR="0052592B">
        <w:rPr>
          <w:rFonts w:ascii="Cambria Math" w:hAnsi="Cambria Math" w:cs="Cambria Math"/>
        </w:rPr>
        <w:t xml:space="preserve"> </w:t>
      </w:r>
      <w:r w:rsidRPr="6E285AE6">
        <w:t>088</w:t>
      </w:r>
      <w:r w:rsidR="00844229">
        <w:t>, no</w:t>
      </w:r>
      <w:r w:rsidR="00C55955">
        <w:t xml:space="preserve">ting that the conditions encountered could not have been anticipated at the </w:t>
      </w:r>
      <w:r w:rsidR="00201DA3">
        <w:t>time of proposal.</w:t>
      </w:r>
      <w:r w:rsidRPr="6E285AE6">
        <w:t xml:space="preserve"> </w:t>
      </w:r>
      <w:r w:rsidR="00201DA3">
        <w:t>Skanska</w:t>
      </w:r>
      <w:r w:rsidRPr="6E285AE6">
        <w:t xml:space="preserve"> committed to submit supplemental information within 14 days under </w:t>
      </w:r>
      <w:r w:rsidR="00C11A5F">
        <w:t>GP</w:t>
      </w:r>
      <w:r w:rsidRPr="6E285AE6">
        <w:t xml:space="preserve"> 1</w:t>
      </w:r>
      <w:r w:rsidRPr="6E285AE6">
        <w:rPr>
          <w:rFonts w:ascii="Cambria Math" w:hAnsi="Cambria Math" w:cs="Cambria Math"/>
        </w:rPr>
        <w:t>‑</w:t>
      </w:r>
      <w:r w:rsidRPr="6E285AE6">
        <w:t>04.5.</w:t>
      </w:r>
      <w:r w:rsidR="00033F57">
        <w:t xml:space="preserve"> </w:t>
      </w:r>
    </w:p>
    <w:p w14:paraId="1A686B09" w14:textId="71B14342" w:rsidR="07CEDDC3" w:rsidRDefault="07CEDDC3" w:rsidP="6E285AE6">
      <w:pPr>
        <w:pStyle w:val="BodyText"/>
      </w:pPr>
      <w:r w:rsidRPr="6E285AE6">
        <w:t>On 2025</w:t>
      </w:r>
      <w:r w:rsidRPr="6E285AE6">
        <w:rPr>
          <w:rFonts w:ascii="Cambria Math" w:hAnsi="Cambria Math" w:cs="Cambria Math"/>
        </w:rPr>
        <w:t>‑</w:t>
      </w:r>
      <w:r w:rsidRPr="6E285AE6">
        <w:t>04</w:t>
      </w:r>
      <w:r w:rsidRPr="6E285AE6">
        <w:rPr>
          <w:rFonts w:ascii="Cambria Math" w:hAnsi="Cambria Math" w:cs="Cambria Math"/>
        </w:rPr>
        <w:t>‑</w:t>
      </w:r>
      <w:r w:rsidRPr="6E285AE6">
        <w:t>04, with WSDOT SL 092, WSDOT acknowledged the protest, anticipated the supplement by 2025</w:t>
      </w:r>
      <w:r w:rsidRPr="6E285AE6">
        <w:rPr>
          <w:rFonts w:ascii="Cambria Math" w:hAnsi="Cambria Math" w:cs="Cambria Math"/>
        </w:rPr>
        <w:t>‑</w:t>
      </w:r>
      <w:r w:rsidRPr="6E285AE6">
        <w:t>04</w:t>
      </w:r>
      <w:r w:rsidRPr="6E285AE6">
        <w:rPr>
          <w:rFonts w:ascii="Cambria Math" w:hAnsi="Cambria Math" w:cs="Cambria Math"/>
        </w:rPr>
        <w:t>‑</w:t>
      </w:r>
      <w:r w:rsidRPr="6E285AE6">
        <w:t xml:space="preserve">15, and committed to issue a determination within 21 calendar days after receipt of a sufficient supplement. </w:t>
      </w:r>
      <w:r w:rsidR="00841473" w:rsidRPr="00841473">
        <w:t>This fixes the near</w:t>
      </w:r>
      <w:r w:rsidR="00841473" w:rsidRPr="00841473">
        <w:rPr>
          <w:rFonts w:ascii="Cambria Math" w:hAnsi="Cambria Math" w:cs="Cambria Math"/>
        </w:rPr>
        <w:t>‑</w:t>
      </w:r>
      <w:r w:rsidR="00841473" w:rsidRPr="00841473">
        <w:t xml:space="preserve">term timing for the protest process under </w:t>
      </w:r>
      <w:r w:rsidR="00C11A5F">
        <w:t>GP</w:t>
      </w:r>
      <w:r w:rsidR="00841473" w:rsidRPr="00841473">
        <w:t xml:space="preserve"> 1</w:t>
      </w:r>
      <w:r w:rsidR="00841473" w:rsidRPr="00841473">
        <w:rPr>
          <w:rFonts w:ascii="Cambria Math" w:hAnsi="Cambria Math" w:cs="Cambria Math"/>
        </w:rPr>
        <w:t>‑</w:t>
      </w:r>
      <w:r w:rsidR="00841473" w:rsidRPr="00841473">
        <w:t>04.5.</w:t>
      </w:r>
    </w:p>
    <w:p w14:paraId="1688AF6E" w14:textId="3489253D" w:rsidR="008219D6" w:rsidRDefault="008219D6" w:rsidP="3A56EACE">
      <w:pPr>
        <w:pStyle w:val="BodyText"/>
      </w:pPr>
      <w:r w:rsidRPr="008219D6">
        <w:t>On 2025</w:t>
      </w:r>
      <w:r w:rsidRPr="008219D6">
        <w:rPr>
          <w:rFonts w:ascii="Cambria Math" w:hAnsi="Cambria Math" w:cs="Cambria Math"/>
        </w:rPr>
        <w:t>‑</w:t>
      </w:r>
      <w:r w:rsidRPr="008219D6">
        <w:t>04</w:t>
      </w:r>
      <w:r w:rsidRPr="008219D6">
        <w:rPr>
          <w:rFonts w:ascii="Cambria Math" w:hAnsi="Cambria Math" w:cs="Cambria Math"/>
        </w:rPr>
        <w:t>‑</w:t>
      </w:r>
      <w:r w:rsidRPr="008219D6">
        <w:t>15, with Skanska LTR 176, the Design</w:t>
      </w:r>
      <w:r w:rsidRPr="008219D6">
        <w:rPr>
          <w:rFonts w:ascii="Cambria Math" w:hAnsi="Cambria Math" w:cs="Cambria Math"/>
        </w:rPr>
        <w:t>‑</w:t>
      </w:r>
      <w:r w:rsidRPr="008219D6">
        <w:t>Builder submitted a Supplement to Notice of Protest 001 detailing discrepancies between RFP representations (≈195 ft cast</w:t>
      </w:r>
      <w:r w:rsidRPr="008219D6">
        <w:rPr>
          <w:rFonts w:ascii="Cambria Math" w:hAnsi="Cambria Math" w:cs="Cambria Math"/>
        </w:rPr>
        <w:t>‑</w:t>
      </w:r>
      <w:r w:rsidRPr="008219D6">
        <w:t>in</w:t>
      </w:r>
      <w:r w:rsidRPr="008219D6">
        <w:rPr>
          <w:rFonts w:ascii="Cambria Math" w:hAnsi="Cambria Math" w:cs="Cambria Math"/>
        </w:rPr>
        <w:t>‑</w:t>
      </w:r>
      <w:r w:rsidRPr="008219D6">
        <w:t>place vault shown in Appendices M1/H3/N1) and field conditions (≈291 ft segmental precast vault), proposal assumptions/due diligence, and a rough order of magnitude cost of approximately $900,000 for additional cleaning, survey, inspection, demolition, design, structural fill, and potential schedule impacts. Skanska stated that a schedule delay analysis could not yet be finalized because load</w:t>
      </w:r>
      <w:r w:rsidRPr="008219D6">
        <w:rPr>
          <w:rFonts w:ascii="Cambria Math" w:hAnsi="Cambria Math" w:cs="Cambria Math"/>
        </w:rPr>
        <w:t>‑</w:t>
      </w:r>
      <w:r w:rsidRPr="008219D6">
        <w:t xml:space="preserve">rating work was still in progress, so LTR 176 did not include the “analysis of the progress schedule showing the schedule change or disruption” required by </w:t>
      </w:r>
      <w:r w:rsidR="002637AE">
        <w:t xml:space="preserve">GP </w:t>
      </w:r>
      <w:r w:rsidR="00C80A1F">
        <w:t>1</w:t>
      </w:r>
      <w:r w:rsidRPr="008219D6">
        <w:rPr>
          <w:rFonts w:ascii="Cambria Math" w:hAnsi="Cambria Math" w:cs="Cambria Math"/>
        </w:rPr>
        <w:t>‑</w:t>
      </w:r>
      <w:r w:rsidRPr="008219D6">
        <w:t>04.5 item 2(d).</w:t>
      </w:r>
    </w:p>
    <w:p w14:paraId="6994D906" w14:textId="7463923E" w:rsidR="000824A4" w:rsidRDefault="000824A4" w:rsidP="41851C04">
      <w:pPr>
        <w:pStyle w:val="BodyText"/>
      </w:pPr>
      <w:r w:rsidRPr="000824A4">
        <w:t>On 2025</w:t>
      </w:r>
      <w:r w:rsidRPr="000824A4">
        <w:rPr>
          <w:rFonts w:ascii="Cambria Math" w:hAnsi="Cambria Math" w:cs="Cambria Math"/>
        </w:rPr>
        <w:t>‑</w:t>
      </w:r>
      <w:r w:rsidRPr="000824A4">
        <w:t>04</w:t>
      </w:r>
      <w:r w:rsidRPr="000824A4">
        <w:rPr>
          <w:rFonts w:ascii="Cambria Math" w:hAnsi="Cambria Math" w:cs="Cambria Math"/>
        </w:rPr>
        <w:t>‑</w:t>
      </w:r>
      <w:r w:rsidRPr="000824A4">
        <w:t>29, with WSDOT SL 106, WSDOT maintained no merit for design and construction impacts but acknowledged potential merit for maintenance/cleaning, requested crew/staff, volume, and duration data</w:t>
      </w:r>
      <w:r w:rsidR="00545BFD">
        <w:t>,</w:t>
      </w:r>
      <w:r w:rsidRPr="000824A4">
        <w:t xml:space="preserve"> and clarified Appendix classifications and their contractual effects. WSDOT also pointed to </w:t>
      </w:r>
      <w:r w:rsidR="006C502D">
        <w:t xml:space="preserve">Technical Requirements </w:t>
      </w:r>
      <w:r w:rsidR="00641B0E">
        <w:t>(TR)</w:t>
      </w:r>
      <w:r w:rsidRPr="000824A4">
        <w:t xml:space="preserve"> 2.14.5.6, which defines the scope of Vault NW12 as a drainage structure to be filled and abandoned unless otherwise required to be removed</w:t>
      </w:r>
      <w:r w:rsidR="00944F6A">
        <w:t>.</w:t>
      </w:r>
      <w:r w:rsidRPr="000824A4">
        <w:t xml:space="preserve"> SL 106 is the WSDOT Engineer’s first written determination of no merit for design/construction impacts under </w:t>
      </w:r>
      <w:r w:rsidR="00C80A1F">
        <w:t>GP 1</w:t>
      </w:r>
      <w:r w:rsidRPr="000824A4">
        <w:rPr>
          <w:rFonts w:ascii="Cambria Math" w:hAnsi="Cambria Math" w:cs="Cambria Math"/>
        </w:rPr>
        <w:t>‑</w:t>
      </w:r>
      <w:r w:rsidRPr="000824A4">
        <w:t>04.5, while directing maintenance costs toward an equitable</w:t>
      </w:r>
      <w:r w:rsidRPr="000824A4">
        <w:rPr>
          <w:rFonts w:ascii="Cambria Math" w:hAnsi="Cambria Math" w:cs="Cambria Math"/>
        </w:rPr>
        <w:t>‑</w:t>
      </w:r>
      <w:r w:rsidRPr="000824A4">
        <w:t xml:space="preserve">adjustment path under </w:t>
      </w:r>
      <w:r w:rsidR="00C80A1F">
        <w:t>GP 1</w:t>
      </w:r>
      <w:r w:rsidRPr="000824A4">
        <w:rPr>
          <w:rFonts w:ascii="Cambria Math" w:hAnsi="Cambria Math" w:cs="Cambria Math"/>
        </w:rPr>
        <w:t>‑</w:t>
      </w:r>
      <w:r w:rsidRPr="000824A4">
        <w:t>09.4.</w:t>
      </w:r>
    </w:p>
    <w:p w14:paraId="2C881AFA" w14:textId="05893904" w:rsidR="0052592B" w:rsidRDefault="0052592B" w:rsidP="41851C04">
      <w:pPr>
        <w:pStyle w:val="BodyText"/>
      </w:pPr>
      <w:r w:rsidRPr="0052592B">
        <w:t>On 2025</w:t>
      </w:r>
      <w:r w:rsidRPr="0052592B">
        <w:rPr>
          <w:rFonts w:ascii="Cambria Math" w:hAnsi="Cambria Math" w:cs="Cambria Math"/>
        </w:rPr>
        <w:t>‑</w:t>
      </w:r>
      <w:r w:rsidRPr="0052592B">
        <w:t>05</w:t>
      </w:r>
      <w:r w:rsidRPr="0052592B">
        <w:rPr>
          <w:rFonts w:ascii="Cambria Math" w:hAnsi="Cambria Math" w:cs="Cambria Math"/>
        </w:rPr>
        <w:t>‑</w:t>
      </w:r>
      <w:r w:rsidRPr="0052592B">
        <w:t>05, project records show Procore transmittal BY</w:t>
      </w:r>
      <w:r w:rsidRPr="0052592B">
        <w:rPr>
          <w:rFonts w:ascii="Cambria Math" w:hAnsi="Cambria Math" w:cs="Cambria Math"/>
        </w:rPr>
        <w:t>‑</w:t>
      </w:r>
      <w:r w:rsidRPr="0052592B">
        <w:t>CRE</w:t>
      </w:r>
      <w:r w:rsidRPr="0052592B">
        <w:rPr>
          <w:rFonts w:ascii="Cambria Math" w:hAnsi="Cambria Math" w:cs="Cambria Math"/>
        </w:rPr>
        <w:t>‑</w:t>
      </w:r>
      <w:r w:rsidRPr="0052592B">
        <w:t>02517_009727_TRAN_18.05 Existing Vault NW</w:t>
      </w:r>
      <w:r w:rsidRPr="0052592B">
        <w:rPr>
          <w:rFonts w:ascii="Cambria Math" w:hAnsi="Cambria Math" w:cs="Cambria Math"/>
        </w:rPr>
        <w:t>‑</w:t>
      </w:r>
      <w:r w:rsidRPr="0052592B">
        <w:t xml:space="preserve">12 Load Rating Report transmitted to WSDOT. In later correspondence, Skanska alternately cites May 6, 2025 (LTR 202) </w:t>
      </w:r>
      <w:r>
        <w:t xml:space="preserve">and </w:t>
      </w:r>
      <w:r w:rsidRPr="0052592B">
        <w:t xml:space="preserve">April 29, 2025 (LTR 221) as the load rating submittal date, but in all </w:t>
      </w:r>
      <w:r w:rsidRPr="0052592B">
        <w:lastRenderedPageBreak/>
        <w:t>cases the initial load rating package was provided roughly 30</w:t>
      </w:r>
      <w:r>
        <w:t>-</w:t>
      </w:r>
      <w:r w:rsidRPr="0052592B">
        <w:t>40 days before the planned June 6, 2025 traffic shift</w:t>
      </w:r>
      <w:r>
        <w:t xml:space="preserve">, </w:t>
      </w:r>
      <w:r w:rsidRPr="0052592B">
        <w:t>well short of the 90 Calendar Day review period allowed by TR 2.13.7.4.</w:t>
      </w:r>
    </w:p>
    <w:p w14:paraId="08CFAB2D" w14:textId="0F7E0849" w:rsidR="00DC1229" w:rsidRDefault="00E7254E" w:rsidP="00DC1229">
      <w:pPr>
        <w:pStyle w:val="BodyText"/>
      </w:pPr>
      <w:r w:rsidRPr="00E7254E">
        <w:t>On 2025</w:t>
      </w:r>
      <w:r w:rsidRPr="00E7254E">
        <w:rPr>
          <w:rFonts w:ascii="Cambria Math" w:hAnsi="Cambria Math" w:cs="Cambria Math"/>
        </w:rPr>
        <w:t>‑</w:t>
      </w:r>
      <w:r w:rsidRPr="00E7254E">
        <w:t>05</w:t>
      </w:r>
      <w:r w:rsidRPr="00E7254E">
        <w:rPr>
          <w:rFonts w:ascii="Cambria Math" w:hAnsi="Cambria Math" w:cs="Cambria Math"/>
        </w:rPr>
        <w:t>‑</w:t>
      </w:r>
      <w:r w:rsidRPr="00E7254E">
        <w:t>27, with Skanska LTR 195, the Design</w:t>
      </w:r>
      <w:r w:rsidRPr="00E7254E">
        <w:rPr>
          <w:rFonts w:ascii="Cambria Math" w:hAnsi="Cambria Math" w:cs="Cambria Math"/>
        </w:rPr>
        <w:t>‑</w:t>
      </w:r>
      <w:r w:rsidRPr="00E7254E">
        <w:t>Builder transmitted requested maintenance/cleaning information (crew/staff, equipment, volumes, durations) in response to WSDOT SL 106. This focused only on cleaning cost back</w:t>
      </w:r>
      <w:r w:rsidRPr="00E7254E">
        <w:rPr>
          <w:rFonts w:ascii="Cambria Math" w:hAnsi="Cambria Math" w:cs="Cambria Math"/>
        </w:rPr>
        <w:t>‑</w:t>
      </w:r>
      <w:r w:rsidRPr="00E7254E">
        <w:t>up, did not dispute the Engineer’s “no merit” determination for design/construction impacts, did not provide a schedule impact analysis.</w:t>
      </w:r>
      <w:r w:rsidR="00DC1229">
        <w:t xml:space="preserve"> Later rescinded.</w:t>
      </w:r>
    </w:p>
    <w:p w14:paraId="13E3A6D4" w14:textId="311932A6" w:rsidR="00F343F7" w:rsidRDefault="00F343F7" w:rsidP="6E285AE6">
      <w:pPr>
        <w:pStyle w:val="BodyText"/>
      </w:pPr>
      <w:r w:rsidRPr="00F343F7">
        <w:t>On 2025</w:t>
      </w:r>
      <w:r w:rsidRPr="00F343F7">
        <w:rPr>
          <w:rFonts w:ascii="Cambria Math" w:hAnsi="Cambria Math" w:cs="Cambria Math"/>
        </w:rPr>
        <w:t>‑</w:t>
      </w:r>
      <w:r w:rsidRPr="00F343F7">
        <w:t>06</w:t>
      </w:r>
      <w:r w:rsidRPr="00F343F7">
        <w:rPr>
          <w:rFonts w:ascii="Cambria Math" w:hAnsi="Cambria Math" w:cs="Cambria Math"/>
        </w:rPr>
        <w:t>‑</w:t>
      </w:r>
      <w:r w:rsidRPr="00F343F7">
        <w:t>05, with Skanska LTR 198, the Design</w:t>
      </w:r>
      <w:r w:rsidRPr="00F343F7">
        <w:rPr>
          <w:rFonts w:ascii="Cambria Math" w:hAnsi="Cambria Math" w:cs="Cambria Math"/>
        </w:rPr>
        <w:t>‑</w:t>
      </w:r>
      <w:r w:rsidRPr="00F343F7">
        <w:t>Builder submitted an additional Supplement providing cleanout costs and a shoring cost analysis, explaining that load</w:t>
      </w:r>
      <w:r w:rsidRPr="00F343F7">
        <w:rPr>
          <w:rFonts w:ascii="Cambria Math" w:hAnsi="Cambria Math" w:cs="Cambria Math"/>
        </w:rPr>
        <w:t>‑</w:t>
      </w:r>
      <w:r w:rsidRPr="00F343F7">
        <w:t>rating comments and a thinner</w:t>
      </w:r>
      <w:r w:rsidRPr="00F343F7">
        <w:rPr>
          <w:rFonts w:ascii="Cambria Math" w:hAnsi="Cambria Math" w:cs="Cambria Math"/>
        </w:rPr>
        <w:t>‑</w:t>
      </w:r>
      <w:r w:rsidRPr="00F343F7">
        <w:t>than</w:t>
      </w:r>
      <w:r w:rsidRPr="00F343F7">
        <w:rPr>
          <w:rFonts w:ascii="Cambria Math" w:hAnsi="Cambria Math" w:cs="Cambria Math"/>
        </w:rPr>
        <w:t>‑</w:t>
      </w:r>
      <w:r w:rsidRPr="00F343F7">
        <w:t>expected vault lid required internal shoring, and asking WSDOT to confirm the load rating before the 2025</w:t>
      </w:r>
      <w:r w:rsidRPr="00F343F7">
        <w:rPr>
          <w:rFonts w:ascii="Cambria Math" w:hAnsi="Cambria Math" w:cs="Cambria Math"/>
        </w:rPr>
        <w:t>‑</w:t>
      </w:r>
      <w:r w:rsidRPr="00F343F7">
        <w:t>06</w:t>
      </w:r>
      <w:r w:rsidRPr="00F343F7">
        <w:rPr>
          <w:rFonts w:ascii="Cambria Math" w:hAnsi="Cambria Math" w:cs="Cambria Math"/>
        </w:rPr>
        <w:t>‑</w:t>
      </w:r>
      <w:r w:rsidRPr="00F343F7">
        <w:t xml:space="preserve">13 Stage 1 traffic shift. While LTR 198 asserts entitlement and foreshadows schedule impacts, it does not include a formal schedule analysis under </w:t>
      </w:r>
      <w:r w:rsidR="00921E81">
        <w:t>GP</w:t>
      </w:r>
      <w:r w:rsidRPr="00F343F7">
        <w:t xml:space="preserve"> 1</w:t>
      </w:r>
      <w:r w:rsidRPr="00F343F7">
        <w:rPr>
          <w:rFonts w:ascii="Cambria Math" w:hAnsi="Cambria Math" w:cs="Cambria Math"/>
        </w:rPr>
        <w:t>‑</w:t>
      </w:r>
      <w:r w:rsidRPr="00F343F7">
        <w:t>04.5 item 2(d), and was transmitted more than 14 days after WSDOT SL 106.</w:t>
      </w:r>
    </w:p>
    <w:p w14:paraId="3C67A4E4" w14:textId="2BFC2C77" w:rsidR="007769D3" w:rsidRDefault="007769D3" w:rsidP="6E285AE6">
      <w:pPr>
        <w:pStyle w:val="BodyText"/>
      </w:pPr>
      <w:r w:rsidRPr="007769D3">
        <w:t>On 2025</w:t>
      </w:r>
      <w:r w:rsidRPr="007769D3">
        <w:rPr>
          <w:rFonts w:ascii="Cambria Math" w:hAnsi="Cambria Math" w:cs="Cambria Math"/>
        </w:rPr>
        <w:t>‑</w:t>
      </w:r>
      <w:r w:rsidRPr="007769D3">
        <w:t>06</w:t>
      </w:r>
      <w:r w:rsidRPr="007769D3">
        <w:rPr>
          <w:rFonts w:ascii="Cambria Math" w:hAnsi="Cambria Math" w:cs="Cambria Math"/>
        </w:rPr>
        <w:t>‑</w:t>
      </w:r>
      <w:r w:rsidRPr="007769D3">
        <w:t>19, with WSDOT SL 121, WSDOT maintained no merit for design and construction impacts</w:t>
      </w:r>
      <w:r w:rsidR="00D90F99">
        <w:t xml:space="preserve"> related to this issue</w:t>
      </w:r>
      <w:r w:rsidRPr="007769D3">
        <w:t xml:space="preserve">, and stated that Skanska’s supplemental protest information in LTR 198 did not contain the contractual references or supporting documentation required under </w:t>
      </w:r>
      <w:r w:rsidR="00C11A5F">
        <w:t>GP</w:t>
      </w:r>
      <w:r w:rsidRPr="007769D3">
        <w:t xml:space="preserve"> 1</w:t>
      </w:r>
      <w:r w:rsidRPr="007769D3">
        <w:rPr>
          <w:rFonts w:ascii="Cambria Math" w:hAnsi="Cambria Math" w:cs="Cambria Math"/>
        </w:rPr>
        <w:t>‑</w:t>
      </w:r>
      <w:r w:rsidRPr="007769D3">
        <w:t xml:space="preserve">04.5 item 2. WSDOT requested that corrected supplemental information for the initial cleanout of Vault NW12 be submitted within 14 calendar days, limited solely to maintenance/cleanout costs, and expressly quoted </w:t>
      </w:r>
      <w:r w:rsidR="00C80A1F">
        <w:t>GP 1</w:t>
      </w:r>
      <w:r w:rsidRPr="007769D3">
        <w:rPr>
          <w:rFonts w:ascii="Cambria Math" w:hAnsi="Cambria Math" w:cs="Cambria Math"/>
        </w:rPr>
        <w:t>‑</w:t>
      </w:r>
      <w:r w:rsidRPr="007769D3">
        <w:t>04.5’s waiver language (“by failing to follow the procedure of this Section, the Design</w:t>
      </w:r>
      <w:r w:rsidRPr="007769D3">
        <w:rPr>
          <w:rFonts w:ascii="Cambria Math" w:hAnsi="Cambria Math" w:cs="Cambria Math"/>
        </w:rPr>
        <w:t>‑</w:t>
      </w:r>
      <w:r w:rsidRPr="007769D3">
        <w:t xml:space="preserve">Builder waives any claims for protested Work”), tying that waiver to </w:t>
      </w:r>
      <w:r w:rsidR="00921E81">
        <w:t>GP</w:t>
      </w:r>
      <w:r w:rsidRPr="007769D3">
        <w:t xml:space="preserve"> 1</w:t>
      </w:r>
      <w:r w:rsidRPr="007769D3">
        <w:rPr>
          <w:rFonts w:ascii="Cambria Math" w:hAnsi="Cambria Math" w:cs="Cambria Math"/>
        </w:rPr>
        <w:t>‑</w:t>
      </w:r>
      <w:r w:rsidRPr="007769D3">
        <w:t>09.11 and noting that no request for an extension had been received within the 14 days following WSDOT SL 106</w:t>
      </w:r>
      <w:r w:rsidR="00FC223C">
        <w:t>and referenced the procedural requirements of GP 1-04.5</w:t>
      </w:r>
      <w:r w:rsidRPr="007769D3">
        <w:t>.</w:t>
      </w:r>
    </w:p>
    <w:p w14:paraId="584E2A5E" w14:textId="0FA8EFB3" w:rsidR="00315F00" w:rsidRDefault="00315F00" w:rsidP="3A56EACE">
      <w:pPr>
        <w:pStyle w:val="BodyText"/>
      </w:pPr>
      <w:r w:rsidRPr="00315F00">
        <w:t>On 2025</w:t>
      </w:r>
      <w:r w:rsidRPr="00315F00">
        <w:rPr>
          <w:rFonts w:ascii="Cambria Math" w:hAnsi="Cambria Math" w:cs="Cambria Math"/>
        </w:rPr>
        <w:t>‑</w:t>
      </w:r>
      <w:r w:rsidRPr="00315F00">
        <w:t>06</w:t>
      </w:r>
      <w:r w:rsidRPr="00315F00">
        <w:rPr>
          <w:rFonts w:ascii="Cambria Math" w:hAnsi="Cambria Math" w:cs="Cambria Math"/>
        </w:rPr>
        <w:t>‑</w:t>
      </w:r>
      <w:r w:rsidRPr="00315F00">
        <w:t>25, with Skanska LTR 202, the Design</w:t>
      </w:r>
      <w:r w:rsidRPr="00315F00">
        <w:rPr>
          <w:rFonts w:ascii="Cambria Math" w:hAnsi="Cambria Math" w:cs="Cambria Math"/>
        </w:rPr>
        <w:t>‑</w:t>
      </w:r>
      <w:r w:rsidRPr="00315F00">
        <w:t>Builder provided a revised Supplement to Notice of Protest 001 with updated cost data as requested by WSDOT SL 121 and clarified three distinct issues: (1) maintenance/initial cleanout, (2) inaccuracies in as</w:t>
      </w:r>
      <w:r w:rsidRPr="00315F00">
        <w:rPr>
          <w:rFonts w:ascii="Cambria Math" w:hAnsi="Cambria Math" w:cs="Cambria Math"/>
        </w:rPr>
        <w:t>‑</w:t>
      </w:r>
      <w:r w:rsidRPr="00315F00">
        <w:t>built/RFP documents, and (3) delay in approval of the Load Rating Report. Skanska emphasized that “this issue began in February 2025, at which point we were directed to clean Vault NW12, investigate its as</w:t>
      </w:r>
      <w:r w:rsidRPr="00315F00">
        <w:rPr>
          <w:rFonts w:ascii="Cambria Math" w:hAnsi="Cambria Math" w:cs="Cambria Math"/>
        </w:rPr>
        <w:t>‑</w:t>
      </w:r>
      <w:r w:rsidRPr="00315F00">
        <w:t xml:space="preserve">built conditions, and develop a load rating analysis,” and stated that the Load Rating Report “was completed and submitted to WSDOT on May 6, 2025,” with an expectation of submission to the Bridge Group and final approval by June 5, 2025, allowing traffic to be placed over the vault starting June 6, 2025. In the correspondence available in this record, WSDOT’s letters acknowledge potential deferred maintenance and agree to review cleaning costs under the WSDOT Maintenance Manual, while </w:t>
      </w:r>
      <w:r w:rsidR="00641B0E">
        <w:t>TR</w:t>
      </w:r>
      <w:r w:rsidRPr="00315F00">
        <w:t xml:space="preserve"> 2.14.5.6 identifies Vault NW12 as a drainage structure to be filled and abandoned unless otherwise required to be removed; the letters do not document a separate WSDOT directive requiring Skanska to develop a load rating analysis or to maintain traffic over the vault. LTR 202 again did not provide an actual progress schedule analysis, instead stating that a Time Impact Analysis and Change Request would follow once the delay was measurable. Although LTR 202 was transmitted within 14 days of WSDOT SL 121 and thus within the “one correction” window for maintenance costs, WSDOT later concluded that the Vault NW12 Cleaning Costs attachment remained incomplete and inconsistent, and WSDOT SL 131 therefore requested another resubmittal even though </w:t>
      </w:r>
      <w:r w:rsidR="00921E81">
        <w:t>GP</w:t>
      </w:r>
      <w:r w:rsidRPr="00315F00">
        <w:t xml:space="preserve"> 1</w:t>
      </w:r>
      <w:r w:rsidRPr="00315F00">
        <w:rPr>
          <w:rFonts w:ascii="Cambria Math" w:hAnsi="Cambria Math" w:cs="Cambria Math"/>
        </w:rPr>
        <w:t>‑</w:t>
      </w:r>
      <w:r w:rsidRPr="00315F00">
        <w:t>04.5 generally provides only a single correction opportunity. Factually, the dates cited in LTR 202 also show that Skanska planned to place traffic over Vault NW12 approximately 31 days after a May 6 load</w:t>
      </w:r>
      <w:r w:rsidRPr="00315F00">
        <w:rPr>
          <w:rFonts w:ascii="Cambria Math" w:hAnsi="Cambria Math" w:cs="Cambria Math"/>
        </w:rPr>
        <w:t>‑</w:t>
      </w:r>
      <w:r w:rsidRPr="00315F00">
        <w:t xml:space="preserve">rating submittal, whereas </w:t>
      </w:r>
      <w:r w:rsidR="00641B0E">
        <w:t>TR</w:t>
      </w:r>
      <w:r w:rsidRPr="00315F00">
        <w:t xml:space="preserve"> 2.13.7.4</w:t>
      </w:r>
      <w:r w:rsidR="0052592B">
        <w:t xml:space="preserve"> - </w:t>
      </w:r>
      <w:r w:rsidRPr="00315F00">
        <w:t xml:space="preserve">as quoted in WSDOT SL 131—requires load ratings to be submitted at least 90 days before opening a structure to traffic, and </w:t>
      </w:r>
      <w:r w:rsidR="00641B0E">
        <w:t>TR</w:t>
      </w:r>
      <w:r w:rsidRPr="00315F00">
        <w:t xml:space="preserve"> 2.14.5.6 provided the </w:t>
      </w:r>
      <w:r w:rsidRPr="00315F00">
        <w:lastRenderedPageBreak/>
        <w:t>alternative design option of filling and abandoning Vault NW12 rather than maintaining traffic over it.</w:t>
      </w:r>
    </w:p>
    <w:p w14:paraId="3AC458D5" w14:textId="5EC11767" w:rsidR="008B4176" w:rsidRDefault="008B4176" w:rsidP="3A56EACE">
      <w:pPr>
        <w:pStyle w:val="BodyText"/>
      </w:pPr>
      <w:r w:rsidRPr="008B4176">
        <w:t>On 2025</w:t>
      </w:r>
      <w:r w:rsidRPr="008B4176">
        <w:rPr>
          <w:rFonts w:ascii="Cambria Math" w:hAnsi="Cambria Math" w:cs="Cambria Math"/>
        </w:rPr>
        <w:t>‑</w:t>
      </w:r>
      <w:r w:rsidRPr="008B4176">
        <w:t>07</w:t>
      </w:r>
      <w:r w:rsidRPr="008B4176">
        <w:rPr>
          <w:rFonts w:ascii="Cambria Math" w:hAnsi="Cambria Math" w:cs="Cambria Math"/>
        </w:rPr>
        <w:t>‑</w:t>
      </w:r>
      <w:r w:rsidRPr="008B4176">
        <w:t>31, with WSDOT SL 131, WSDOT responded to Skanska LTR 202, requesting another correction to the Vault NW12 Cleaning Costs attachment due to work from other areas, missing Force Account sheets, missing standby time application, and other inconsistencies, and limiting maintenance review to the period from 2025</w:t>
      </w:r>
      <w:r w:rsidRPr="008B4176">
        <w:rPr>
          <w:rFonts w:ascii="Cambria Math" w:hAnsi="Cambria Math" w:cs="Cambria Math"/>
        </w:rPr>
        <w:t>‑</w:t>
      </w:r>
      <w:r w:rsidRPr="008B4176">
        <w:t>02</w:t>
      </w:r>
      <w:r w:rsidRPr="008B4176">
        <w:rPr>
          <w:rFonts w:ascii="Cambria Math" w:hAnsi="Cambria Math" w:cs="Cambria Math"/>
        </w:rPr>
        <w:t>‑</w:t>
      </w:r>
      <w:r w:rsidRPr="008B4176">
        <w:t>03 through 2025</w:t>
      </w:r>
      <w:r w:rsidRPr="008B4176">
        <w:rPr>
          <w:rFonts w:ascii="Cambria Math" w:hAnsi="Cambria Math" w:cs="Cambria Math"/>
        </w:rPr>
        <w:t>‑</w:t>
      </w:r>
      <w:r w:rsidRPr="008B4176">
        <w:t>02</w:t>
      </w:r>
      <w:r w:rsidRPr="008B4176">
        <w:rPr>
          <w:rFonts w:ascii="Cambria Math" w:hAnsi="Cambria Math" w:cs="Cambria Math"/>
        </w:rPr>
        <w:t>‑</w:t>
      </w:r>
      <w:r w:rsidRPr="008B4176">
        <w:t xml:space="preserve">13 under </w:t>
      </w:r>
      <w:r w:rsidR="00C80A1F">
        <w:t>GP 1</w:t>
      </w:r>
      <w:r w:rsidRPr="008B4176">
        <w:rPr>
          <w:rFonts w:ascii="Cambria Math" w:hAnsi="Cambria Math" w:cs="Cambria Math"/>
        </w:rPr>
        <w:t>‑</w:t>
      </w:r>
      <w:r w:rsidRPr="008B4176">
        <w:t>09.6 Force Account. WSDOT reiterated that Appendix N1 is a Reference Document used at the Design</w:t>
      </w:r>
      <w:r w:rsidRPr="008B4176">
        <w:rPr>
          <w:rFonts w:ascii="Cambria Math" w:hAnsi="Cambria Math" w:cs="Cambria Math"/>
        </w:rPr>
        <w:t>‑</w:t>
      </w:r>
      <w:r w:rsidRPr="008B4176">
        <w:t>Builder’s risk, confirmed that there is no merit for the as</w:t>
      </w:r>
      <w:r w:rsidRPr="008B4176">
        <w:rPr>
          <w:rFonts w:ascii="Cambria Math" w:hAnsi="Cambria Math" w:cs="Cambria Math"/>
        </w:rPr>
        <w:t>‑</w:t>
      </w:r>
      <w:r w:rsidRPr="008B4176">
        <w:t>built/RFP issue, and</w:t>
      </w:r>
      <w:r w:rsidR="00597CDB">
        <w:t xml:space="preserve"> </w:t>
      </w:r>
      <w:r w:rsidRPr="008B4176">
        <w:t xml:space="preserve">citing </w:t>
      </w:r>
      <w:r w:rsidR="00641B0E">
        <w:t>TR</w:t>
      </w:r>
      <w:r w:rsidRPr="008B4176">
        <w:t xml:space="preserve"> </w:t>
      </w:r>
      <w:r w:rsidR="00F60A80">
        <w:t>2</w:t>
      </w:r>
      <w:r w:rsidRPr="008B4176">
        <w:t>.13.7.4</w:t>
      </w:r>
      <w:r w:rsidR="00597CDB">
        <w:t xml:space="preserve">, </w:t>
      </w:r>
      <w:r w:rsidRPr="008B4176">
        <w:t>found no merit for a change order or time extension based on load</w:t>
      </w:r>
      <w:r w:rsidRPr="008B4176">
        <w:rPr>
          <w:rFonts w:ascii="Cambria Math" w:hAnsi="Cambria Math" w:cs="Cambria Math"/>
        </w:rPr>
        <w:t>‑</w:t>
      </w:r>
      <w:r w:rsidRPr="008B4176">
        <w:t xml:space="preserve">rating review because the Contract allows at least 90 calendar days for review and comment. WSDOT further invoked </w:t>
      </w:r>
      <w:r w:rsidR="00C80A1F">
        <w:t>GP 1</w:t>
      </w:r>
      <w:r w:rsidRPr="008B4176">
        <w:rPr>
          <w:rFonts w:ascii="Cambria Math" w:hAnsi="Cambria Math" w:cs="Cambria Math"/>
        </w:rPr>
        <w:t>‑</w:t>
      </w:r>
      <w:r w:rsidRPr="008B4176">
        <w:t>04.4(5)(k) (matters not eligible for change orders where the Design</w:t>
      </w:r>
      <w:r w:rsidRPr="008B4176">
        <w:rPr>
          <w:rFonts w:ascii="Cambria Math" w:hAnsi="Cambria Math" w:cs="Cambria Math"/>
        </w:rPr>
        <w:t>‑</w:t>
      </w:r>
      <w:r w:rsidRPr="008B4176">
        <w:t xml:space="preserve">Builder fails to comply with Contract requirements) and directed that, if Skanska did not accept this determination, it must follow the Dispute procedures in </w:t>
      </w:r>
      <w:r w:rsidR="00C80A1F">
        <w:t>GP 1</w:t>
      </w:r>
      <w:r w:rsidRPr="008B4176">
        <w:rPr>
          <w:rFonts w:ascii="Cambria Math" w:hAnsi="Cambria Math" w:cs="Cambria Math"/>
        </w:rPr>
        <w:t>‑</w:t>
      </w:r>
      <w:r w:rsidRPr="008B4176">
        <w:t>04.5(1), thereby pointing toward Disputes Review Board (DRB) procedures while also representing WSDOT’s third written reaffirmation of no merit on the design, as</w:t>
      </w:r>
      <w:r w:rsidRPr="008B4176">
        <w:rPr>
          <w:rFonts w:ascii="Cambria Math" w:hAnsi="Cambria Math" w:cs="Cambria Math"/>
        </w:rPr>
        <w:t>‑</w:t>
      </w:r>
      <w:r w:rsidRPr="008B4176">
        <w:t>built/RFP, and load</w:t>
      </w:r>
      <w:r w:rsidRPr="008B4176">
        <w:rPr>
          <w:rFonts w:ascii="Cambria Math" w:hAnsi="Cambria Math" w:cs="Cambria Math"/>
        </w:rPr>
        <w:t>‑</w:t>
      </w:r>
      <w:r w:rsidRPr="008B4176">
        <w:t>rating delay.</w:t>
      </w:r>
    </w:p>
    <w:p w14:paraId="3F80A0BF" w14:textId="2BC1A96E" w:rsidR="07CEDDC3" w:rsidRDefault="00C0649C" w:rsidP="00632B5F">
      <w:pPr>
        <w:pStyle w:val="BodyText"/>
      </w:pPr>
      <w:r w:rsidRPr="00C0649C">
        <w:t>On 2025</w:t>
      </w:r>
      <w:r w:rsidRPr="00C0649C">
        <w:rPr>
          <w:rFonts w:ascii="Cambria Math" w:hAnsi="Cambria Math" w:cs="Cambria Math"/>
        </w:rPr>
        <w:t>‑</w:t>
      </w:r>
      <w:r w:rsidRPr="00C0649C">
        <w:t>08</w:t>
      </w:r>
      <w:r w:rsidRPr="00C0649C">
        <w:rPr>
          <w:rFonts w:ascii="Cambria Math" w:hAnsi="Cambria Math" w:cs="Cambria Math"/>
        </w:rPr>
        <w:t>‑</w:t>
      </w:r>
      <w:r w:rsidRPr="00C0649C">
        <w:t>13, with Skanska LTR 221, the Design</w:t>
      </w:r>
      <w:r w:rsidRPr="00C0649C">
        <w:rPr>
          <w:rFonts w:ascii="Cambria Math" w:hAnsi="Cambria Math" w:cs="Cambria Math"/>
        </w:rPr>
        <w:t>‑</w:t>
      </w:r>
      <w:r w:rsidRPr="00C0649C">
        <w:t>Builder requested resolution via the Disputes Review Board, disputed WSDOT’s limitation of the maintenance cost window to 2025</w:t>
      </w:r>
      <w:r w:rsidRPr="00C0649C">
        <w:rPr>
          <w:rFonts w:ascii="Cambria Math" w:hAnsi="Cambria Math" w:cs="Cambria Math"/>
        </w:rPr>
        <w:t>‑</w:t>
      </w:r>
      <w:r w:rsidRPr="00C0649C">
        <w:t>02</w:t>
      </w:r>
      <w:r w:rsidRPr="00C0649C">
        <w:rPr>
          <w:rFonts w:ascii="Cambria Math" w:hAnsi="Cambria Math" w:cs="Cambria Math"/>
        </w:rPr>
        <w:t>‑</w:t>
      </w:r>
      <w:r w:rsidRPr="00C0649C">
        <w:t>03 through 2025</w:t>
      </w:r>
      <w:r w:rsidRPr="00C0649C">
        <w:rPr>
          <w:rFonts w:ascii="Cambria Math" w:hAnsi="Cambria Math" w:cs="Cambria Math"/>
        </w:rPr>
        <w:t>‑</w:t>
      </w:r>
      <w:r w:rsidRPr="00C0649C">
        <w:t>02</w:t>
      </w:r>
      <w:r w:rsidRPr="00C0649C">
        <w:rPr>
          <w:rFonts w:ascii="Cambria Math" w:hAnsi="Cambria Math" w:cs="Cambria Math"/>
        </w:rPr>
        <w:t>‑</w:t>
      </w:r>
      <w:r w:rsidRPr="00C0649C">
        <w:t>13, maintained its position that inaccuracies in as</w:t>
      </w:r>
      <w:r w:rsidRPr="00C0649C">
        <w:rPr>
          <w:rFonts w:ascii="Cambria Math" w:hAnsi="Cambria Math" w:cs="Cambria Math"/>
        </w:rPr>
        <w:t>‑</w:t>
      </w:r>
      <w:r w:rsidRPr="00C0649C">
        <w:t>built/RFP documentation caused cost and time impacts, and asserted that more than 90 days had passed without Load Rating Report approval, preventing the planned traffic switch. Skanska stated that it submitted the Load Rating Report on April 29, 2025 (contrary to the May 6, 2025 date it had given in Skanska LTR 202), noted that its most recent response to WSDOT’s comments was on July 24, 2025 with no formal response yet received, and indicated that the initial load</w:t>
      </w:r>
      <w:r w:rsidRPr="00C0649C">
        <w:rPr>
          <w:rFonts w:ascii="Cambria Math" w:hAnsi="Cambria Math" w:cs="Cambria Math"/>
        </w:rPr>
        <w:t>‑</w:t>
      </w:r>
      <w:r w:rsidRPr="00C0649C">
        <w:t xml:space="preserve">rating submittal was delayed by over two months due to additional cleaning and investigation required to verify existing conditions, with a Time Impact Analysis to follow once delay was measurable. Skanska LTR 221 thus formally invoked DRB procedures under </w:t>
      </w:r>
      <w:r w:rsidR="00C80A1F">
        <w:t>GP 1</w:t>
      </w:r>
      <w:r w:rsidRPr="00C0649C">
        <w:rPr>
          <w:rFonts w:ascii="Cambria Math" w:hAnsi="Cambria Math" w:cs="Cambria Math"/>
        </w:rPr>
        <w:t>‑</w:t>
      </w:r>
      <w:r w:rsidRPr="00C0649C">
        <w:t>04.5(1)</w:t>
      </w:r>
      <w:r w:rsidR="00FC223C">
        <w:t>. This followed</w:t>
      </w:r>
      <w:r w:rsidRPr="00C0649C">
        <w:t xml:space="preserve"> multiple points at which WSDOT had already stated that design and construction impacts (including load</w:t>
      </w:r>
      <w:r w:rsidRPr="00C0649C">
        <w:rPr>
          <w:rFonts w:ascii="Cambria Math" w:hAnsi="Cambria Math" w:cs="Cambria Math"/>
        </w:rPr>
        <w:t>‑</w:t>
      </w:r>
      <w:r w:rsidRPr="00C0649C">
        <w:t>rating issues) lacked merit.</w:t>
      </w:r>
      <w:r w:rsidR="00A17C97">
        <w:t xml:space="preserve"> </w:t>
      </w:r>
    </w:p>
    <w:p w14:paraId="48FC22CF" w14:textId="16D15A47" w:rsidR="006C2244" w:rsidRDefault="006C2244" w:rsidP="41851C04">
      <w:pPr>
        <w:pStyle w:val="BodyText"/>
      </w:pPr>
      <w:r w:rsidRPr="006C2244">
        <w:t>On 2025</w:t>
      </w:r>
      <w:r w:rsidRPr="006C2244">
        <w:rPr>
          <w:rFonts w:ascii="Cambria Math" w:hAnsi="Cambria Math" w:cs="Cambria Math"/>
        </w:rPr>
        <w:t>‑</w:t>
      </w:r>
      <w:r w:rsidRPr="006C2244">
        <w:t>08</w:t>
      </w:r>
      <w:r w:rsidRPr="006C2244">
        <w:rPr>
          <w:rFonts w:ascii="Cambria Math" w:hAnsi="Cambria Math" w:cs="Cambria Math"/>
        </w:rPr>
        <w:t>‑</w:t>
      </w:r>
      <w:r w:rsidRPr="006C2244">
        <w:t>27, with WSDOT SL 145, WSDOT acknowledged Skanska LTR 221, scheduled further discussion on cleaning costs at the 2025</w:t>
      </w:r>
      <w:r w:rsidRPr="006C2244">
        <w:rPr>
          <w:rFonts w:ascii="Cambria Math" w:hAnsi="Cambria Math" w:cs="Cambria Math"/>
        </w:rPr>
        <w:t>‑</w:t>
      </w:r>
      <w:r w:rsidRPr="006C2244">
        <w:t>09</w:t>
      </w:r>
      <w:r w:rsidRPr="006C2244">
        <w:rPr>
          <w:rFonts w:ascii="Cambria Math" w:hAnsi="Cambria Math" w:cs="Cambria Math"/>
        </w:rPr>
        <w:t>‑</w:t>
      </w:r>
      <w:r w:rsidRPr="006C2244">
        <w:t>02 manager meeting, directed the Design</w:t>
      </w:r>
      <w:r w:rsidRPr="006C2244">
        <w:rPr>
          <w:rFonts w:ascii="Cambria Math" w:hAnsi="Cambria Math" w:cs="Cambria Math"/>
        </w:rPr>
        <w:t>‑</w:t>
      </w:r>
      <w:r w:rsidRPr="006C2244">
        <w:t xml:space="preserve">Builder to submit a written Dispute Referral and prepare per </w:t>
      </w:r>
      <w:r w:rsidR="00C11A5F">
        <w:t>GP</w:t>
      </w:r>
      <w:r w:rsidRPr="006C2244">
        <w:t xml:space="preserve"> 1</w:t>
      </w:r>
      <w:r w:rsidRPr="006C2244">
        <w:rPr>
          <w:rFonts w:ascii="Cambria Math" w:hAnsi="Cambria Math" w:cs="Cambria Math"/>
        </w:rPr>
        <w:t>‑</w:t>
      </w:r>
      <w:r w:rsidRPr="006C2244">
        <w:t>04.5(1).1.8 for DRB consideration, and addressed the load</w:t>
      </w:r>
      <w:r w:rsidRPr="006C2244">
        <w:rPr>
          <w:rFonts w:ascii="Cambria Math" w:hAnsi="Cambria Math" w:cs="Cambria Math"/>
        </w:rPr>
        <w:t>‑</w:t>
      </w:r>
      <w:r w:rsidRPr="006C2244">
        <w:t>rating issue by noting that 90 days had elapsed since the submittal date identified in Skanska LTR 202 (“May 6, 2025”), but explaining that submittal of the Load Rating Package does not guarantee approval as submitted. WSDOT stated it would continue working with Skanska to resolve outstanding comments on the Load Rating package and temporary structure design to achieve a contract</w:t>
      </w:r>
      <w:r w:rsidRPr="006C2244">
        <w:rPr>
          <w:rFonts w:ascii="Cambria Math" w:hAnsi="Cambria Math" w:cs="Cambria Math"/>
        </w:rPr>
        <w:t>‑</w:t>
      </w:r>
      <w:r w:rsidRPr="006C2244">
        <w:t>compliant path forward while DRB steps proceed.</w:t>
      </w:r>
    </w:p>
    <w:p w14:paraId="41966E2C" w14:textId="7DE835EE" w:rsidR="001275B5" w:rsidRDefault="0072409E" w:rsidP="0052592B">
      <w:pPr>
        <w:pStyle w:val="BodyText"/>
      </w:pPr>
      <w:commentRangeStart w:id="15"/>
      <w:r w:rsidRPr="0072409E">
        <w:t>On 2025</w:t>
      </w:r>
      <w:r w:rsidRPr="0072409E">
        <w:rPr>
          <w:rFonts w:ascii="Cambria Math" w:hAnsi="Cambria Math" w:cs="Cambria Math"/>
        </w:rPr>
        <w:t>‑</w:t>
      </w:r>
      <w:r w:rsidRPr="0072409E">
        <w:t>10</w:t>
      </w:r>
      <w:r w:rsidRPr="0072409E">
        <w:rPr>
          <w:rFonts w:ascii="Cambria Math" w:hAnsi="Cambria Math" w:cs="Cambria Math"/>
        </w:rPr>
        <w:t>‑</w:t>
      </w:r>
      <w:r w:rsidRPr="0072409E">
        <w:t>28, with Skanska LTR 261, the Design</w:t>
      </w:r>
      <w:r w:rsidRPr="0072409E">
        <w:rPr>
          <w:rFonts w:ascii="Cambria Math" w:hAnsi="Cambria Math" w:cs="Cambria Math"/>
        </w:rPr>
        <w:t>‑</w:t>
      </w:r>
      <w:r w:rsidRPr="0072409E">
        <w:t xml:space="preserve">Builder submitted TIA 003 </w:t>
      </w:r>
      <w:r w:rsidR="0052592B">
        <w:t>-</w:t>
      </w:r>
      <w:r w:rsidRPr="0072409E">
        <w:t xml:space="preserve"> Vault NW12 Load Rating Report, seeking a 91</w:t>
      </w:r>
      <w:r w:rsidRPr="0072409E">
        <w:rPr>
          <w:rFonts w:ascii="Cambria Math" w:hAnsi="Cambria Math" w:cs="Cambria Math"/>
        </w:rPr>
        <w:t>‑</w:t>
      </w:r>
      <w:r w:rsidRPr="0072409E">
        <w:t>day extension based on an assumed load</w:t>
      </w:r>
      <w:r w:rsidRPr="0072409E">
        <w:rPr>
          <w:rFonts w:ascii="Cambria Math" w:hAnsi="Cambria Math" w:cs="Cambria Math"/>
        </w:rPr>
        <w:t>‑</w:t>
      </w:r>
      <w:r w:rsidRPr="0072409E">
        <w:t>rating acceptance and northbound traffic switch date of 2025</w:t>
      </w:r>
      <w:r w:rsidRPr="0072409E">
        <w:rPr>
          <w:rFonts w:ascii="Cambria Math" w:hAnsi="Cambria Math" w:cs="Cambria Math"/>
        </w:rPr>
        <w:t>‑</w:t>
      </w:r>
      <w:r w:rsidRPr="0072409E">
        <w:t>10</w:t>
      </w:r>
      <w:r w:rsidRPr="0072409E">
        <w:rPr>
          <w:rFonts w:ascii="Cambria Math" w:hAnsi="Cambria Math" w:cs="Cambria Math"/>
        </w:rPr>
        <w:t>‑</w:t>
      </w:r>
      <w:r w:rsidRPr="0072409E">
        <w:t>25, requesting WSDOT direction to implement compensable acceleration, and indicating entitlement to delay costs with a detailed estimate to follow after the traffic switch. Skanska framed this submission as a follow</w:t>
      </w:r>
      <w:r w:rsidRPr="0072409E">
        <w:rPr>
          <w:rFonts w:ascii="Cambria Math" w:hAnsi="Cambria Math" w:cs="Cambria Math"/>
        </w:rPr>
        <w:t>‑</w:t>
      </w:r>
      <w:r w:rsidRPr="0072409E">
        <w:t xml:space="preserve">up to Skanska LTRs 202 and 221 and acknowledged its duty under </w:t>
      </w:r>
      <w:r w:rsidR="00C80A1F">
        <w:t>GP 1</w:t>
      </w:r>
      <w:r w:rsidRPr="0072409E">
        <w:rPr>
          <w:rFonts w:ascii="Cambria Math" w:hAnsi="Cambria Math" w:cs="Cambria Math"/>
        </w:rPr>
        <w:t>‑</w:t>
      </w:r>
      <w:r w:rsidRPr="0072409E">
        <w:t>04.1(2) to mitigate delay, while asserting that meaningful mitigation was not feasible without WSDOT</w:t>
      </w:r>
      <w:r w:rsidRPr="0072409E">
        <w:rPr>
          <w:rFonts w:ascii="Cambria Math" w:hAnsi="Cambria Math" w:cs="Cambria Math"/>
        </w:rPr>
        <w:t>‑</w:t>
      </w:r>
      <w:r w:rsidRPr="0072409E">
        <w:t>directed acceleration.</w:t>
      </w:r>
      <w:commentRangeEnd w:id="15"/>
      <w:r w:rsidR="00771900">
        <w:rPr>
          <w:rStyle w:val="CommentReference"/>
        </w:rPr>
        <w:commentReference w:id="15"/>
      </w:r>
    </w:p>
    <w:p w14:paraId="4EC188A8" w14:textId="2778EDD8" w:rsidR="00352E1D" w:rsidRPr="00F67712" w:rsidRDefault="7B88BAE1" w:rsidP="00F67712">
      <w:pPr>
        <w:pStyle w:val="Heading1"/>
      </w:pPr>
      <w:bookmarkStart w:id="16" w:name="6_Affected_FLJV_Design_Submittals"/>
      <w:bookmarkStart w:id="17" w:name="_Toc220002720"/>
      <w:bookmarkEnd w:id="16"/>
      <w:r>
        <w:t>Submittals and Exhibits</w:t>
      </w:r>
      <w:bookmarkEnd w:id="17"/>
    </w:p>
    <w:p w14:paraId="60855AD0" w14:textId="48644013" w:rsidR="00D640D9" w:rsidRDefault="00D640D9" w:rsidP="004C29C6">
      <w:pPr>
        <w:pStyle w:val="BodyText"/>
      </w:pPr>
      <w:r>
        <w:lastRenderedPageBreak/>
        <w:t>2025</w:t>
      </w:r>
      <w:r w:rsidR="004C29C6">
        <w:rPr>
          <w:rFonts w:ascii="Cambria Math" w:hAnsi="Cambria Math" w:cs="Cambria Math"/>
        </w:rPr>
        <w:t>/</w:t>
      </w:r>
      <w:r>
        <w:t>05</w:t>
      </w:r>
      <w:r w:rsidR="004C29C6">
        <w:rPr>
          <w:rFonts w:ascii="Cambria Math" w:hAnsi="Cambria Math" w:cs="Cambria Math"/>
        </w:rPr>
        <w:t>/</w:t>
      </w:r>
      <w:r>
        <w:t>05 – BY</w:t>
      </w:r>
      <w:r>
        <w:rPr>
          <w:rFonts w:ascii="Cambria Math" w:hAnsi="Cambria Math" w:cs="Cambria Math"/>
        </w:rPr>
        <w:t>‑</w:t>
      </w:r>
      <w:r>
        <w:t>CRE</w:t>
      </w:r>
      <w:r>
        <w:rPr>
          <w:rFonts w:ascii="Cambria Math" w:hAnsi="Cambria Math" w:cs="Cambria Math"/>
        </w:rPr>
        <w:t>‑</w:t>
      </w:r>
      <w:r>
        <w:t>02517_009727_TRAN_18.05 – Load Rating Report – Existing Vault NW</w:t>
      </w:r>
      <w:r>
        <w:rPr>
          <w:rFonts w:ascii="Cambria Math" w:hAnsi="Cambria Math" w:cs="Cambria Math"/>
        </w:rPr>
        <w:t>‑</w:t>
      </w:r>
      <w:r>
        <w:t xml:space="preserve">12 </w:t>
      </w:r>
      <w:r w:rsidR="004C29C6">
        <w:br/>
        <w:t xml:space="preserve">     - I</w:t>
      </w:r>
      <w:r>
        <w:t xml:space="preserve">nitial load rating transmittal to WSDOT </w:t>
      </w:r>
    </w:p>
    <w:p w14:paraId="76F9B740" w14:textId="6A71013F" w:rsidR="00D640D9" w:rsidRDefault="00D640D9" w:rsidP="00D640D9">
      <w:pPr>
        <w:pStyle w:val="BodyText"/>
      </w:pPr>
      <w:r>
        <w:t>2025</w:t>
      </w:r>
      <w:r w:rsidR="004C29C6">
        <w:t>/</w:t>
      </w:r>
      <w:r>
        <w:t>10</w:t>
      </w:r>
      <w:r w:rsidR="004C29C6">
        <w:rPr>
          <w:rFonts w:ascii="Cambria Math" w:hAnsi="Cambria Math" w:cs="Cambria Math"/>
        </w:rPr>
        <w:t>/</w:t>
      </w:r>
      <w:r>
        <w:t xml:space="preserve">31 </w:t>
      </w:r>
      <w:r w:rsidR="004C29C6">
        <w:t>&amp;</w:t>
      </w:r>
      <w:r>
        <w:t xml:space="preserve"> 2025</w:t>
      </w:r>
      <w:r w:rsidR="004C29C6">
        <w:rPr>
          <w:rFonts w:ascii="Cambria Math" w:hAnsi="Cambria Math" w:cs="Cambria Math"/>
        </w:rPr>
        <w:t>/</w:t>
      </w:r>
      <w:r>
        <w:t>11</w:t>
      </w:r>
      <w:r w:rsidR="004C29C6">
        <w:rPr>
          <w:rFonts w:ascii="Cambria Math" w:hAnsi="Cambria Math" w:cs="Cambria Math"/>
        </w:rPr>
        <w:t>/</w:t>
      </w:r>
      <w:r>
        <w:t>12 – BY</w:t>
      </w:r>
      <w:r>
        <w:rPr>
          <w:rFonts w:ascii="Cambria Math" w:hAnsi="Cambria Math" w:cs="Cambria Math"/>
        </w:rPr>
        <w:t>‑</w:t>
      </w:r>
      <w:r>
        <w:t>CRE</w:t>
      </w:r>
      <w:r>
        <w:rPr>
          <w:rFonts w:ascii="Cambria Math" w:hAnsi="Cambria Math" w:cs="Cambria Math"/>
        </w:rPr>
        <w:t>‑</w:t>
      </w:r>
      <w:r>
        <w:t>03898_009727_SUB_18.05 – Load Rating Report – NW</w:t>
      </w:r>
      <w:r>
        <w:rPr>
          <w:rFonts w:ascii="Cambria Math" w:hAnsi="Cambria Math" w:cs="Cambria Math"/>
        </w:rPr>
        <w:t>‑</w:t>
      </w:r>
      <w:r>
        <w:t>12 Culvert</w:t>
      </w:r>
      <w:r w:rsidR="004C29C6">
        <w:t xml:space="preserve"> </w:t>
      </w:r>
      <w:r w:rsidR="004C29C6">
        <w:br/>
        <w:t xml:space="preserve">     - E</w:t>
      </w:r>
      <w:r>
        <w:t>nters Design</w:t>
      </w:r>
      <w:r>
        <w:rPr>
          <w:rFonts w:ascii="Cambria Math" w:hAnsi="Cambria Math" w:cs="Cambria Math"/>
        </w:rPr>
        <w:t>‑</w:t>
      </w:r>
      <w:r>
        <w:t>Builder review on 10</w:t>
      </w:r>
      <w:r w:rsidR="004C29C6">
        <w:rPr>
          <w:rFonts w:ascii="Cambria Math" w:hAnsi="Cambria Math" w:cs="Cambria Math"/>
        </w:rPr>
        <w:t>/</w:t>
      </w:r>
      <w:r>
        <w:t>31</w:t>
      </w:r>
      <w:r w:rsidR="004C29C6">
        <w:t xml:space="preserve"> &amp;</w:t>
      </w:r>
      <w:r>
        <w:t xml:space="preserve"> PRE submittal to WSDOT </w:t>
      </w:r>
      <w:r w:rsidR="004C29C6">
        <w:t xml:space="preserve">on </w:t>
      </w:r>
      <w:r>
        <w:t>11</w:t>
      </w:r>
      <w:r w:rsidR="004C29C6">
        <w:rPr>
          <w:rFonts w:ascii="Cambria Math" w:hAnsi="Cambria Math" w:cs="Cambria Math"/>
        </w:rPr>
        <w:t>/</w:t>
      </w:r>
      <w:r>
        <w:t xml:space="preserve">12  </w:t>
      </w:r>
    </w:p>
    <w:p w14:paraId="64F7FC59" w14:textId="7AFD869F" w:rsidR="00D640D9" w:rsidRDefault="00D640D9" w:rsidP="00D640D9">
      <w:pPr>
        <w:pStyle w:val="BodyText"/>
      </w:pPr>
      <w:r>
        <w:t>2025</w:t>
      </w:r>
      <w:r w:rsidR="004C29C6">
        <w:rPr>
          <w:rFonts w:ascii="Cambria Math" w:hAnsi="Cambria Math" w:cs="Cambria Math"/>
        </w:rPr>
        <w:t>/</w:t>
      </w:r>
      <w:r>
        <w:t>11</w:t>
      </w:r>
      <w:r w:rsidR="004C29C6">
        <w:rPr>
          <w:rFonts w:ascii="Cambria Math" w:hAnsi="Cambria Math" w:cs="Cambria Math"/>
        </w:rPr>
        <w:t>/</w:t>
      </w:r>
      <w:r>
        <w:t>24</w:t>
      </w:r>
      <w:r w:rsidR="004C29C6">
        <w:t xml:space="preserve"> –</w:t>
      </w:r>
      <w:r>
        <w:t xml:space="preserve"> BY</w:t>
      </w:r>
      <w:r>
        <w:rPr>
          <w:rFonts w:ascii="Cambria Math" w:hAnsi="Cambria Math" w:cs="Cambria Math"/>
        </w:rPr>
        <w:t>‑</w:t>
      </w:r>
      <w:r>
        <w:t>CRE</w:t>
      </w:r>
      <w:r>
        <w:rPr>
          <w:rFonts w:ascii="Cambria Math" w:hAnsi="Cambria Math" w:cs="Cambria Math"/>
        </w:rPr>
        <w:t>‑</w:t>
      </w:r>
      <w:r>
        <w:t>04073_009727_TRAN_18.05 – Load Rating Report – NW</w:t>
      </w:r>
      <w:r>
        <w:rPr>
          <w:rFonts w:ascii="Cambria Math" w:hAnsi="Cambria Math" w:cs="Cambria Math"/>
        </w:rPr>
        <w:t>‑</w:t>
      </w:r>
      <w:r>
        <w:t xml:space="preserve">12 Culvert RFC </w:t>
      </w:r>
      <w:r w:rsidR="004C29C6">
        <w:br/>
        <w:t xml:space="preserve">     - </w:t>
      </w:r>
      <w:r>
        <w:t>RFC transmittal to WSDOT</w:t>
      </w:r>
    </w:p>
    <w:p w14:paraId="6FC8448B" w14:textId="55A84665" w:rsidR="00D640D9" w:rsidRPr="00B342E3" w:rsidRDefault="00D640D9" w:rsidP="00D640D9">
      <w:pPr>
        <w:pStyle w:val="BodyText"/>
      </w:pPr>
      <w:r>
        <w:t>2025</w:t>
      </w:r>
      <w:r w:rsidR="004C29C6">
        <w:rPr>
          <w:rFonts w:ascii="Cambria Math" w:hAnsi="Cambria Math" w:cs="Cambria Math"/>
        </w:rPr>
        <w:t>/</w:t>
      </w:r>
      <w:r>
        <w:t>10</w:t>
      </w:r>
      <w:r w:rsidR="004C29C6">
        <w:rPr>
          <w:rFonts w:ascii="Cambria Math" w:hAnsi="Cambria Math" w:cs="Cambria Math"/>
        </w:rPr>
        <w:t>/</w:t>
      </w:r>
      <w:r>
        <w:t>28 – TIA 003 – Vault NW12 Load Rating Report</w:t>
      </w:r>
      <w:r w:rsidR="004C29C6">
        <w:br/>
        <w:t xml:space="preserve">      - S</w:t>
      </w:r>
      <w:r>
        <w:t>ubmitted with Skanska LTR 261</w:t>
      </w:r>
    </w:p>
    <w:p w14:paraId="4EC18B12" w14:textId="211767C6" w:rsidR="00352E1D" w:rsidRPr="005470CF" w:rsidRDefault="006D10F0" w:rsidP="005470CF">
      <w:pPr>
        <w:pStyle w:val="Heading1"/>
      </w:pPr>
      <w:bookmarkStart w:id="18" w:name="7_WSDOT_Position"/>
      <w:bookmarkStart w:id="19" w:name="_Toc220002721"/>
      <w:bookmarkEnd w:id="18"/>
      <w:r w:rsidRPr="005470CF">
        <w:t>WSDOT Posi</w:t>
      </w:r>
      <w:r w:rsidR="0067069E" w:rsidRPr="005470CF">
        <w:t>ti</w:t>
      </w:r>
      <w:r w:rsidRPr="005470CF">
        <w:t>on</w:t>
      </w:r>
      <w:bookmarkEnd w:id="19"/>
    </w:p>
    <w:p w14:paraId="5DCBAB7A" w14:textId="5D5518A0" w:rsidR="002265FE" w:rsidRDefault="002265FE" w:rsidP="002265FE">
      <w:pPr>
        <w:pStyle w:val="BodyText"/>
      </w:pPr>
      <w:r>
        <w:t>WSDOT’s position is that Protest 001 does not establish entitlement to broad design or construction cost/time adjustments. Only a narrowly defined portion of Vault NW12 maintenance/cleanout is appropriate for limited compensation under Sections 1</w:t>
      </w:r>
      <w:r>
        <w:rPr>
          <w:rFonts w:ascii="Cambria Math" w:hAnsi="Cambria Math" w:cs="Cambria Math"/>
        </w:rPr>
        <w:t>‑</w:t>
      </w:r>
      <w:r>
        <w:t>09.4 and 1</w:t>
      </w:r>
      <w:r>
        <w:rPr>
          <w:rFonts w:ascii="Cambria Math" w:hAnsi="Cambria Math" w:cs="Cambria Math"/>
        </w:rPr>
        <w:t>‑</w:t>
      </w:r>
      <w:r>
        <w:t>09.6.</w:t>
      </w:r>
    </w:p>
    <w:p w14:paraId="697E5803" w14:textId="594913DB" w:rsidR="002265FE" w:rsidRPr="00E141F3" w:rsidRDefault="002265FE" w:rsidP="0011302C">
      <w:pPr>
        <w:pStyle w:val="Heading2"/>
      </w:pPr>
      <w:bookmarkStart w:id="20" w:name="_Toc220002722"/>
      <w:r w:rsidRPr="00E141F3">
        <w:t>Entitlement and reliance on Reference Documents</w:t>
      </w:r>
      <w:bookmarkEnd w:id="20"/>
    </w:p>
    <w:p w14:paraId="2F034C20" w14:textId="68EE88CD" w:rsidR="002265FE" w:rsidRDefault="002265FE" w:rsidP="002265FE">
      <w:pPr>
        <w:pStyle w:val="BodyText"/>
      </w:pPr>
      <w:r>
        <w:t>WSDOT maintains that Skanska is not entitled to additional compensation or time based on differences between Appendix N1 as</w:t>
      </w:r>
      <w:r>
        <w:rPr>
          <w:rFonts w:ascii="Cambria Math" w:hAnsi="Cambria Math" w:cs="Cambria Math"/>
        </w:rPr>
        <w:t>‑</w:t>
      </w:r>
      <w:r>
        <w:t xml:space="preserve">builts and field conditions. WSDOT SL 079 and WSDOT SL 106 both emphasize that Appendix N1 is listed in Appendix A1 as a Reference Document, and that, under </w:t>
      </w:r>
      <w:r w:rsidR="00C11A5F">
        <w:t>GP</w:t>
      </w:r>
      <w:r>
        <w:t xml:space="preserve"> 1</w:t>
      </w:r>
      <w:r>
        <w:rPr>
          <w:rFonts w:ascii="Cambria Math" w:hAnsi="Cambria Math" w:cs="Cambria Math"/>
        </w:rPr>
        <w:t>‑</w:t>
      </w:r>
      <w:r>
        <w:t>01.3 (“Reference Documents”) and 1</w:t>
      </w:r>
      <w:r>
        <w:rPr>
          <w:rFonts w:ascii="Cambria Math" w:hAnsi="Cambria Math" w:cs="Cambria Math"/>
        </w:rPr>
        <w:t>‑</w:t>
      </w:r>
      <w:r>
        <w:t>02.2 (“Disclaimer Regarding Documentation”), Reference Documents are for information only and the Design</w:t>
      </w:r>
      <w:r>
        <w:rPr>
          <w:rFonts w:ascii="Cambria Math" w:hAnsi="Cambria Math" w:cs="Cambria Math"/>
        </w:rPr>
        <w:t>‑</w:t>
      </w:r>
      <w:r>
        <w:t>Builder relies on them at its own risk. WSDOT SL 131 reaffirms that determination, explicitly stating that there is “no merit” for the as</w:t>
      </w:r>
      <w:r>
        <w:rPr>
          <w:rFonts w:ascii="Cambria Math" w:hAnsi="Cambria Math" w:cs="Cambria Math"/>
        </w:rPr>
        <w:t>‑</w:t>
      </w:r>
      <w:r>
        <w:t xml:space="preserve">built/RFP documentation issue and directing Skanska, if it disagrees, to pursue </w:t>
      </w:r>
      <w:r w:rsidR="00C80A1F">
        <w:t>GP 1</w:t>
      </w:r>
      <w:r>
        <w:rPr>
          <w:rFonts w:ascii="Cambria Math" w:hAnsi="Cambria Math" w:cs="Cambria Math"/>
        </w:rPr>
        <w:t>‑</w:t>
      </w:r>
      <w:r>
        <w:t xml:space="preserve">04.5(1) Dispute procedures. Consistent with </w:t>
      </w:r>
      <w:r w:rsidR="00C80A1F">
        <w:t>GP 1</w:t>
      </w:r>
      <w:r>
        <w:rPr>
          <w:rFonts w:ascii="Cambria Math" w:hAnsi="Cambria Math" w:cs="Cambria Math"/>
        </w:rPr>
        <w:t>‑</w:t>
      </w:r>
      <w:r>
        <w:t xml:space="preserve">02.2, WSDOT denies entitlement to broad design/construction cost or time impacts premised </w:t>
      </w:r>
      <w:r w:rsidR="001A4C4A">
        <w:t>o</w:t>
      </w:r>
      <w:r w:rsidR="00030D65">
        <w:t>n reliance o</w:t>
      </w:r>
      <w:r w:rsidR="006F0535">
        <w:t>n</w:t>
      </w:r>
      <w:r>
        <w:t xml:space="preserve"> Reference</w:t>
      </w:r>
      <w:r w:rsidR="00030D65">
        <w:t xml:space="preserve"> Documents</w:t>
      </w:r>
      <w:r>
        <w:t>.</w:t>
      </w:r>
    </w:p>
    <w:p w14:paraId="2C8C23B8" w14:textId="5B0E106E" w:rsidR="002265FE" w:rsidRPr="005F4076" w:rsidRDefault="002265FE" w:rsidP="0011302C">
      <w:pPr>
        <w:pStyle w:val="Heading2"/>
      </w:pPr>
      <w:bookmarkStart w:id="21" w:name="_Toc220002723"/>
      <w:r w:rsidRPr="005F4076">
        <w:t>Limited maintenance/cleanout compensation (Feb 3</w:t>
      </w:r>
      <w:r w:rsidR="00D640D9">
        <w:t>-</w:t>
      </w:r>
      <w:r w:rsidRPr="005F4076">
        <w:t>13, 2025)</w:t>
      </w:r>
      <w:bookmarkEnd w:id="21"/>
    </w:p>
    <w:p w14:paraId="0B14CE32" w14:textId="50CB326F" w:rsidR="002A0BDD" w:rsidRDefault="002A0BDD" w:rsidP="002A0BDD">
      <w:pPr>
        <w:pStyle w:val="BodyText"/>
      </w:pPr>
      <w:r>
        <w:t xml:space="preserve">While denying design and construction impacts, WSDOT acknowledges that some maintenance on Vault NW12 may have been deferred and agrees to consider limited compensation for bringing maintenance current. Under TR 2.14.5.2 and TR 2.29.4.7, the Design-Builder is responsible for inspection and maintenance of the existing stormwater drainage system, including culverts and related drainage structures within the Project limits, once the maintenance trigger in TR 2.29.1 is reached. Consistent with that framework, WSDOT SL 131 states that “WSDOT agreed to review costs incurred by Skanska for the initial cleanout of vault NW12 that was completed in accordance with RFP Appendix D - WSDOT Maintenance Manual (M51-01)” and that, “based on review of available daily inspection records documenting cleaning of Vault NW12, WSDOT will review Skanska costs from February 3, 2025 through February 13, 2025.” </w:t>
      </w:r>
    </w:p>
    <w:p w14:paraId="7C13D885" w14:textId="03582207" w:rsidR="002A0BDD" w:rsidRDefault="002A0BDD" w:rsidP="002A0BDD">
      <w:pPr>
        <w:pStyle w:val="BodyText"/>
      </w:pPr>
      <w:r>
        <w:t>The February 3</w:t>
      </w:r>
      <w:r w:rsidR="00D640D9">
        <w:t>-</w:t>
      </w:r>
      <w:r>
        <w:t xml:space="preserve">13, 2025 window corresponds to the portion of the LTR 202 </w:t>
      </w:r>
      <w:r w:rsidR="00E43525">
        <w:t>cost records</w:t>
      </w:r>
      <w:r>
        <w:t xml:space="preserve"> relevant to the initial maintenance cleanout. WSDOT’s position is that all agreed maintenance costs for that defined period will be addressed via an equitable adjustment consistent with Sections 1</w:t>
      </w:r>
      <w:r>
        <w:rPr>
          <w:rFonts w:ascii="Cambria Math" w:hAnsi="Cambria Math" w:cs="Cambria Math"/>
        </w:rPr>
        <w:t>‑</w:t>
      </w:r>
      <w:r>
        <w:t>09.4 and 1</w:t>
      </w:r>
      <w:r>
        <w:rPr>
          <w:rFonts w:ascii="Cambria Math" w:hAnsi="Cambria Math" w:cs="Cambria Math"/>
        </w:rPr>
        <w:t>‑</w:t>
      </w:r>
      <w:r>
        <w:t>09.6 and Appendix D (M51</w:t>
      </w:r>
      <w:r>
        <w:rPr>
          <w:rFonts w:ascii="Cambria Math" w:hAnsi="Cambria Math" w:cs="Cambria Math"/>
        </w:rPr>
        <w:t>‑</w:t>
      </w:r>
      <w:r>
        <w:t>01), while costs associated with enhancements, shoring, demolition, or other activities beyond restoring deferred maintenance are outside the maintenance offer.</w:t>
      </w:r>
    </w:p>
    <w:p w14:paraId="03DF97B8" w14:textId="5158C513" w:rsidR="002265FE" w:rsidRPr="005F4076" w:rsidRDefault="002265FE" w:rsidP="0011302C">
      <w:pPr>
        <w:pStyle w:val="Heading2"/>
      </w:pPr>
      <w:bookmarkStart w:id="22" w:name="_Toc220002724"/>
      <w:r w:rsidRPr="005F4076">
        <w:lastRenderedPageBreak/>
        <w:t>Scope delineation: maintenance vs. enhancements and design responsibilities</w:t>
      </w:r>
      <w:bookmarkEnd w:id="22"/>
    </w:p>
    <w:p w14:paraId="63638763" w14:textId="4882D287" w:rsidR="00BA5598" w:rsidRDefault="00BA5598" w:rsidP="00BA5598">
      <w:pPr>
        <w:pStyle w:val="BodyText"/>
      </w:pPr>
      <w:r>
        <w:t>WSDOT distinguishes between (a) maintenance/cleanout to bring Vault NW12 up to the standard described in Appendix D M51</w:t>
      </w:r>
      <w:r>
        <w:rPr>
          <w:rFonts w:ascii="Cambria Math" w:hAnsi="Cambria Math" w:cs="Cambria Math"/>
        </w:rPr>
        <w:t>‑</w:t>
      </w:r>
      <w:r>
        <w:t>01 and the Contract’s stormwater maintenance provisions (TR 2.14.5.2 and TR 2.29.4.7), and (b) additional activities that are design-driven or means-and-methods-driven. In Skanska LTR 198 and Skanska LTR 202, Skanska describes extensive activities including internal shoring of the vault, chipping into the roof and walls to verify reinforcement, scanning, and other measures needed to support Skanska’s chosen design solution and load-rating approach. WSDOT’s view is that these enhancements, shoring measures, and investigative efforts beyond what is needed to restore deferred maintenance are Design-Builder responsibilities under the Contract—falling within its design, means, and methods—and therefore are not included in the limited maintenance compensation window defined in WSDOT SL 131.</w:t>
      </w:r>
    </w:p>
    <w:p w14:paraId="381EA45C" w14:textId="548A8C26" w:rsidR="002265FE" w:rsidRPr="005F4076" w:rsidRDefault="002265FE" w:rsidP="0011302C">
      <w:pPr>
        <w:pStyle w:val="Heading2"/>
      </w:pPr>
      <w:r w:rsidRPr="005F4076">
        <w:t xml:space="preserve"> </w:t>
      </w:r>
      <w:bookmarkStart w:id="23" w:name="_Toc220002725"/>
      <w:r w:rsidRPr="005F4076">
        <w:t xml:space="preserve">Protest procedure compliance and </w:t>
      </w:r>
      <w:r w:rsidRPr="008244AE">
        <w:t>waiver (</w:t>
      </w:r>
      <w:r w:rsidR="008244AE" w:rsidRPr="008244AE">
        <w:t>GP 1</w:t>
      </w:r>
      <w:r w:rsidRPr="008244AE">
        <w:rPr>
          <w:rFonts w:ascii="Cambria Math" w:hAnsi="Cambria Math" w:cs="Cambria Math"/>
        </w:rPr>
        <w:t>‑</w:t>
      </w:r>
      <w:r w:rsidRPr="008244AE">
        <w:t>04.5</w:t>
      </w:r>
      <w:r w:rsidRPr="005F4076">
        <w:t>)</w:t>
      </w:r>
      <w:bookmarkEnd w:id="23"/>
    </w:p>
    <w:p w14:paraId="0A943252" w14:textId="0044697F" w:rsidR="002265FE" w:rsidRDefault="002265FE" w:rsidP="002265FE">
      <w:pPr>
        <w:pStyle w:val="BodyText"/>
      </w:pPr>
      <w:r>
        <w:t xml:space="preserve">Under </w:t>
      </w:r>
      <w:r w:rsidR="00C11A5F">
        <w:t>GP</w:t>
      </w:r>
      <w:r>
        <w:t xml:space="preserve"> 1</w:t>
      </w:r>
      <w:r>
        <w:rPr>
          <w:rFonts w:ascii="Cambria Math" w:hAnsi="Cambria Math" w:cs="Cambria Math"/>
        </w:rPr>
        <w:t>‑</w:t>
      </w:r>
      <w:r>
        <w:t>04.5, once WSDOT issues a Written Determination on a protest, two procedural requirements apply when the Design</w:t>
      </w:r>
      <w:r>
        <w:rPr>
          <w:rFonts w:ascii="Cambria Math" w:hAnsi="Cambria Math" w:cs="Cambria Math"/>
        </w:rPr>
        <w:t>‑</w:t>
      </w:r>
      <w:r>
        <w:t>Builder disagrees:</w:t>
      </w:r>
    </w:p>
    <w:p w14:paraId="725B1F8B" w14:textId="3ECFA4E3" w:rsidR="002265FE" w:rsidRDefault="008244AE" w:rsidP="00C214FA">
      <w:pPr>
        <w:pStyle w:val="BodyText"/>
        <w:numPr>
          <w:ilvl w:val="0"/>
          <w:numId w:val="19"/>
        </w:numPr>
      </w:pPr>
      <w:r>
        <w:t>GP 1</w:t>
      </w:r>
      <w:r w:rsidR="002265FE">
        <w:rPr>
          <w:rFonts w:ascii="Cambria Math" w:hAnsi="Cambria Math" w:cs="Cambria Math"/>
        </w:rPr>
        <w:t>‑</w:t>
      </w:r>
      <w:r w:rsidR="002265FE">
        <w:t>04.5, item 2 requires the Design</w:t>
      </w:r>
      <w:r w:rsidR="002265FE">
        <w:rPr>
          <w:rFonts w:ascii="Cambria Math" w:hAnsi="Cambria Math" w:cs="Cambria Math"/>
        </w:rPr>
        <w:t>‑</w:t>
      </w:r>
      <w:r w:rsidR="002265FE">
        <w:t>Builder to submit a complete supplement to the Written protest within 14 Calendar Days (or obtain a written extension), including an analysis of the progress schedule showing the schedule change or disruption when time impacts are asserted.</w:t>
      </w:r>
    </w:p>
    <w:p w14:paraId="2CD61AB2" w14:textId="3FA14FA9" w:rsidR="002265FE" w:rsidRDefault="008244AE" w:rsidP="00C214FA">
      <w:pPr>
        <w:pStyle w:val="BodyText"/>
        <w:numPr>
          <w:ilvl w:val="0"/>
          <w:numId w:val="19"/>
        </w:numPr>
      </w:pPr>
      <w:r>
        <w:t>GP 1</w:t>
      </w:r>
      <w:r w:rsidR="002265FE">
        <w:rPr>
          <w:rFonts w:ascii="Cambria Math" w:hAnsi="Cambria Math" w:cs="Cambria Math"/>
        </w:rPr>
        <w:t>‑</w:t>
      </w:r>
      <w:r w:rsidR="002265FE">
        <w:t>04.5(1) then requires the Design</w:t>
      </w:r>
      <w:r w:rsidR="002265FE">
        <w:rPr>
          <w:rFonts w:ascii="Cambria Math" w:hAnsi="Cambria Math" w:cs="Cambria Math"/>
        </w:rPr>
        <w:t>‑</w:t>
      </w:r>
      <w:r w:rsidR="002265FE">
        <w:t>Builder, if it does not accept WSDOT’s determination, to pursue the Dispute and claims procedures within the specified timeframe.</w:t>
      </w:r>
    </w:p>
    <w:p w14:paraId="2CCAFA9A" w14:textId="24A8000E" w:rsidR="002265FE" w:rsidRDefault="002265FE" w:rsidP="0049665C">
      <w:pPr>
        <w:pStyle w:val="BodyText"/>
      </w:pPr>
      <w:r>
        <w:t>WSDOT SL 106 (April 29, 2025) is the WSDOT Engineer’s initial Written Determination on Protest 001, finding no merit for design and construction impacts and acknowledging only potential merit for maintenance. Skanska’s subsequent letters—Skanska LTR 195 (May 27, 2025) and Skanska LTR 198 (June 5, 2025)—arrived after the 14</w:t>
      </w:r>
      <w:r>
        <w:rPr>
          <w:rFonts w:ascii="Cambria Math" w:hAnsi="Cambria Math" w:cs="Cambria Math"/>
        </w:rPr>
        <w:t>‑</w:t>
      </w:r>
      <w:r>
        <w:t>day window that closed on approximately May 13, 2025, focus primarily on cleaning cost back</w:t>
      </w:r>
      <w:r>
        <w:rPr>
          <w:rFonts w:ascii="Cambria Math" w:hAnsi="Cambria Math" w:cs="Cambria Math"/>
        </w:rPr>
        <w:t>‑</w:t>
      </w:r>
      <w:r>
        <w:t>up and load</w:t>
      </w:r>
      <w:r>
        <w:rPr>
          <w:rFonts w:ascii="Cambria Math" w:hAnsi="Cambria Math" w:cs="Cambria Math"/>
        </w:rPr>
        <w:t>‑</w:t>
      </w:r>
      <w:r>
        <w:t xml:space="preserve">rating commentary, and do not include the required schedule analysis or timely invocation of </w:t>
      </w:r>
      <w:r w:rsidR="008244AE">
        <w:t>GP 1</w:t>
      </w:r>
      <w:r>
        <w:rPr>
          <w:rFonts w:ascii="Cambria Math" w:hAnsi="Cambria Math" w:cs="Cambria Math"/>
        </w:rPr>
        <w:t>‑</w:t>
      </w:r>
      <w:r>
        <w:t xml:space="preserve">04.5(1) Dispute procedures. WSDOT SL 121 (June 19, 2025) expressly cites </w:t>
      </w:r>
      <w:r w:rsidR="008244AE">
        <w:t>GP 1</w:t>
      </w:r>
      <w:r>
        <w:rPr>
          <w:rFonts w:ascii="Cambria Math" w:hAnsi="Cambria Math" w:cs="Cambria Math"/>
        </w:rPr>
        <w:t>‑</w:t>
      </w:r>
      <w:r>
        <w:t>04.5 item 2 and quotes the clause that “by failing to follow the procedure of this Section, the Design</w:t>
      </w:r>
      <w:r>
        <w:rPr>
          <w:rFonts w:ascii="Cambria Math" w:hAnsi="Cambria Math" w:cs="Cambria Math"/>
        </w:rPr>
        <w:t>‑</w:t>
      </w:r>
      <w:r>
        <w:t xml:space="preserve">Builder waives any claims for protested Work,” tying that waiver to </w:t>
      </w:r>
      <w:r w:rsidR="008244AE">
        <w:t>GP 1</w:t>
      </w:r>
      <w:r>
        <w:rPr>
          <w:rFonts w:ascii="Cambria Math" w:hAnsi="Cambria Math" w:cs="Cambria Math"/>
        </w:rPr>
        <w:t>‑</w:t>
      </w:r>
      <w:r>
        <w:t>09.11 Claims and noting that no extension request was received within the 14</w:t>
      </w:r>
      <w:r>
        <w:rPr>
          <w:rFonts w:ascii="Cambria Math" w:hAnsi="Cambria Math" w:cs="Cambria Math"/>
        </w:rPr>
        <w:t>‑</w:t>
      </w:r>
      <w:r>
        <w:t>day period following WSDOT SL 106. WSDOT SL 131 (July 31, 2025) again confirms “no merit” for the as</w:t>
      </w:r>
      <w:r>
        <w:rPr>
          <w:rFonts w:ascii="Cambria Math" w:hAnsi="Cambria Math" w:cs="Cambria Math"/>
        </w:rPr>
        <w:t>‑</w:t>
      </w:r>
      <w:r>
        <w:t>built/RFP issue and, for the first time, squarely addresses the load</w:t>
      </w:r>
      <w:r>
        <w:rPr>
          <w:rFonts w:ascii="Cambria Math" w:hAnsi="Cambria Math" w:cs="Cambria Math"/>
        </w:rPr>
        <w:t>‑</w:t>
      </w:r>
      <w:r>
        <w:t xml:space="preserve">rating delay under </w:t>
      </w:r>
      <w:r w:rsidR="004F4D50">
        <w:t>TR 2</w:t>
      </w:r>
      <w:r>
        <w:t xml:space="preserve">.13.7.4 while directing Skanska to </w:t>
      </w:r>
      <w:r w:rsidR="008244AE">
        <w:t>GP 1</w:t>
      </w:r>
      <w:r>
        <w:rPr>
          <w:rFonts w:ascii="Cambria Math" w:hAnsi="Cambria Math" w:cs="Cambria Math"/>
        </w:rPr>
        <w:t>‑</w:t>
      </w:r>
      <w:r>
        <w:t>04.5(1) if it disagrees. Skanska’s formal DRB escalation in Skanska LTR 221 (August 13, 2025</w:t>
      </w:r>
      <w:r w:rsidR="00FC223C">
        <w:t>)</w:t>
      </w:r>
      <w:r>
        <w:t xml:space="preserve">comes 106 days after WSDOT SL 106 and 55 days after WSDOT SL 121. </w:t>
      </w:r>
      <w:r w:rsidR="00FC223C">
        <w:t xml:space="preserve"> followed these determinations. Skanska’s formal DRB escalation in Skanska LTR 221 (August 13, 2025) followed these prior determinations. WSDOT’s position is that the protest supplements for design and construction impacts did not meet the content requirements outlined in GP 1-04.5</w:t>
      </w:r>
      <w:r>
        <w:t>.</w:t>
      </w:r>
    </w:p>
    <w:p w14:paraId="01FCBAEB" w14:textId="3740B69E" w:rsidR="002265FE" w:rsidRPr="005F4076" w:rsidRDefault="002265FE" w:rsidP="0011302C">
      <w:pPr>
        <w:pStyle w:val="Heading2"/>
      </w:pPr>
      <w:bookmarkStart w:id="24" w:name="_Toc220002726"/>
      <w:r w:rsidRPr="005F4076">
        <w:t>Schedule, load rating, and design</w:t>
      </w:r>
      <w:r w:rsidRPr="005F4076">
        <w:rPr>
          <w:rFonts w:ascii="Cambria Math" w:hAnsi="Cambria Math" w:cs="Cambria Math"/>
        </w:rPr>
        <w:t>‑</w:t>
      </w:r>
      <w:r w:rsidRPr="005F4076">
        <w:t>builder responsibility (Sections 2.13.7.4, 1</w:t>
      </w:r>
      <w:r w:rsidRPr="005F4076">
        <w:rPr>
          <w:rFonts w:ascii="Cambria Math" w:hAnsi="Cambria Math" w:cs="Cambria Math"/>
        </w:rPr>
        <w:t>‑</w:t>
      </w:r>
      <w:r w:rsidRPr="005F4076">
        <w:t>08.6, 1</w:t>
      </w:r>
      <w:r w:rsidRPr="005F4076">
        <w:rPr>
          <w:rFonts w:ascii="Cambria Math" w:hAnsi="Cambria Math" w:cs="Cambria Math"/>
        </w:rPr>
        <w:t>‑</w:t>
      </w:r>
      <w:r w:rsidRPr="005F4076">
        <w:t>08.8)</w:t>
      </w:r>
      <w:bookmarkEnd w:id="24"/>
    </w:p>
    <w:p w14:paraId="4B260773" w14:textId="16A95428" w:rsidR="00D042B6" w:rsidRDefault="002265FE" w:rsidP="002265FE">
      <w:pPr>
        <w:pStyle w:val="BodyText"/>
      </w:pPr>
      <w:r>
        <w:t xml:space="preserve">With respect to schedule and alleged delay, WSDOT emphasizes that submittal of a load rating report does not equate to approval and that the Contract places the burden of planning and sequencing </w:t>
      </w:r>
      <w:r>
        <w:lastRenderedPageBreak/>
        <w:t>submittals on the Design</w:t>
      </w:r>
      <w:r>
        <w:rPr>
          <w:rFonts w:ascii="Cambria Math" w:hAnsi="Cambria Math" w:cs="Cambria Math"/>
        </w:rPr>
        <w:t>‑</w:t>
      </w:r>
      <w:r>
        <w:t xml:space="preserve">Builder. As quoted in WSDOT SL 131, </w:t>
      </w:r>
      <w:r w:rsidR="00BC3711">
        <w:t>TR</w:t>
      </w:r>
      <w:r>
        <w:t xml:space="preserve"> </w:t>
      </w:r>
      <w:r w:rsidR="004F4D50">
        <w:t>2</w:t>
      </w:r>
      <w:r>
        <w:t>.13.7.4 (Load Rating Report) requires the Design</w:t>
      </w:r>
      <w:r>
        <w:rPr>
          <w:rFonts w:ascii="Cambria Math" w:hAnsi="Cambria Math" w:cs="Cambria Math"/>
        </w:rPr>
        <w:t>‑</w:t>
      </w:r>
      <w:r>
        <w:t>Builder to complete and submit a load rating report “at least 90 Calendar Days before a structure is opened to vehicular traffic.” In Skanska LTR 202, Skanska states that the Load Rating Report “was completed and submitted to WSDOT on May 6, 2025” and that it expected approval by June 5, 2025, allowing traffic to be placed over Vault NW12 starting June 6, 2025</w:t>
      </w:r>
      <w:r w:rsidR="00CE4964">
        <w:t xml:space="preserve"> - </w:t>
      </w:r>
      <w:r>
        <w:t>an interval of roughly 31 days between submittal and planned traffic, far short of the 90</w:t>
      </w:r>
      <w:r>
        <w:rPr>
          <w:rFonts w:ascii="Cambria Math" w:hAnsi="Cambria Math" w:cs="Cambria Math"/>
        </w:rPr>
        <w:t>‑</w:t>
      </w:r>
      <w:r>
        <w:t>day review period required by the Contract. To meet the 90</w:t>
      </w:r>
      <w:r>
        <w:rPr>
          <w:rFonts w:ascii="Cambria Math" w:hAnsi="Cambria Math" w:cs="Cambria Math"/>
        </w:rPr>
        <w:t>‑</w:t>
      </w:r>
      <w:r>
        <w:t xml:space="preserve">day requirement for a June 6 opening, the load rating would have needed to be submitted in early March 2025. </w:t>
      </w:r>
    </w:p>
    <w:p w14:paraId="254030A4" w14:textId="6DF430A7" w:rsidR="0057563F" w:rsidRDefault="002265FE" w:rsidP="002265FE">
      <w:pPr>
        <w:pStyle w:val="BodyText"/>
      </w:pPr>
      <w:r>
        <w:t xml:space="preserve">Furthermore, </w:t>
      </w:r>
      <w:r w:rsidR="00BC3711">
        <w:t>TR</w:t>
      </w:r>
      <w:r>
        <w:t xml:space="preserve"> </w:t>
      </w:r>
      <w:r w:rsidR="004F4D50">
        <w:t>2</w:t>
      </w:r>
      <w:r>
        <w:t>.14.5.6 (Abandonment and Removal of Existing Drainage Structures) lists Vault NW12 as a drainage structure to be filled and abandoned unless otherwise required to be removed, which allowed the Design</w:t>
      </w:r>
      <w:r>
        <w:rPr>
          <w:rFonts w:ascii="Cambria Math" w:hAnsi="Cambria Math" w:cs="Cambria Math"/>
        </w:rPr>
        <w:t>‑</w:t>
      </w:r>
      <w:r>
        <w:t>Builder to consider configurations in which the vault would ultimately be abandoned in place and covered</w:t>
      </w:r>
      <w:r w:rsidR="001E1A19">
        <w:t>.</w:t>
      </w:r>
      <w:r w:rsidR="00ED258C">
        <w:t xml:space="preserve"> </w:t>
      </w:r>
      <w:r w:rsidR="00ED258C" w:rsidRPr="00ED258C">
        <w:t>In such configurations, the nature and extent of the structural and load</w:t>
      </w:r>
      <w:r w:rsidR="00ED258C" w:rsidRPr="00ED258C">
        <w:rPr>
          <w:rFonts w:ascii="Cambria Math" w:hAnsi="Cambria Math" w:cs="Cambria Math"/>
        </w:rPr>
        <w:t>‑</w:t>
      </w:r>
      <w:r w:rsidR="00ED258C" w:rsidRPr="00ED258C">
        <w:t>rating analysis would have been different than for a configuration that continued to rely on the existing vault roof as a primary load</w:t>
      </w:r>
      <w:r w:rsidR="00ED258C" w:rsidRPr="00ED258C">
        <w:rPr>
          <w:rFonts w:ascii="Cambria Math" w:hAnsi="Cambria Math" w:cs="Cambria Math"/>
        </w:rPr>
        <w:t>‑</w:t>
      </w:r>
      <w:r w:rsidR="00ED258C" w:rsidRPr="00ED258C">
        <w:t>carrying element under live traffic</w:t>
      </w:r>
      <w:r w:rsidR="00244369">
        <w:t>.</w:t>
      </w:r>
      <w:r>
        <w:t xml:space="preserve"> </w:t>
      </w:r>
    </w:p>
    <w:p w14:paraId="579B7C19" w14:textId="4F4CC458" w:rsidR="002265FE" w:rsidRDefault="002265FE" w:rsidP="002265FE">
      <w:pPr>
        <w:pStyle w:val="BodyText"/>
      </w:pPr>
      <w:r>
        <w:t>Under Sections 1</w:t>
      </w:r>
      <w:r>
        <w:rPr>
          <w:rFonts w:ascii="Cambria Math" w:hAnsi="Cambria Math" w:cs="Cambria Math"/>
        </w:rPr>
        <w:t>‑</w:t>
      </w:r>
      <w:r>
        <w:t>08.6 and 1</w:t>
      </w:r>
      <w:r>
        <w:rPr>
          <w:rFonts w:ascii="Cambria Math" w:hAnsi="Cambria Math" w:cs="Cambria Math"/>
        </w:rPr>
        <w:t>‑</w:t>
      </w:r>
      <w:r>
        <w:t>08.8, any request for a time extension must show a compensable delay on the critical path</w:t>
      </w:r>
      <w:r w:rsidR="00E7261F">
        <w:t>.</w:t>
      </w:r>
      <w:r>
        <w:t xml:space="preserve"> WSDOT’s position is that Skanska has not demonstrated a Contract</w:t>
      </w:r>
      <w:r>
        <w:rPr>
          <w:rFonts w:ascii="Cambria Math" w:hAnsi="Cambria Math" w:cs="Cambria Math"/>
        </w:rPr>
        <w:t>‑</w:t>
      </w:r>
      <w:r>
        <w:t>compliant critical path delay attributable to WSDOT, and that schedule impacts arising from Skanska’s later</w:t>
      </w:r>
      <w:r>
        <w:rPr>
          <w:rFonts w:ascii="Cambria Math" w:hAnsi="Cambria Math" w:cs="Cambria Math"/>
        </w:rPr>
        <w:t>‑</w:t>
      </w:r>
      <w:r>
        <w:t>than</w:t>
      </w:r>
      <w:r>
        <w:rPr>
          <w:rFonts w:ascii="Cambria Math" w:hAnsi="Cambria Math" w:cs="Cambria Math"/>
        </w:rPr>
        <w:t>‑</w:t>
      </w:r>
      <w:r>
        <w:t>required load</w:t>
      </w:r>
      <w:r>
        <w:rPr>
          <w:rFonts w:ascii="Cambria Math" w:hAnsi="Cambria Math" w:cs="Cambria Math"/>
        </w:rPr>
        <w:t>‑</w:t>
      </w:r>
      <w:r>
        <w:t>rating submittal and its chosen means, methods, and design approach</w:t>
      </w:r>
      <w:r w:rsidR="00CE4964">
        <w:t xml:space="preserve"> - </w:t>
      </w:r>
      <w:r>
        <w:t>including how and when to carry traffic over Vault NW12</w:t>
      </w:r>
      <w:r w:rsidR="00CE4964">
        <w:t xml:space="preserve"> - </w:t>
      </w:r>
      <w:r>
        <w:t>are matters within the Design</w:t>
      </w:r>
      <w:r>
        <w:rPr>
          <w:rFonts w:ascii="Cambria Math" w:hAnsi="Cambria Math" w:cs="Cambria Math"/>
        </w:rPr>
        <w:t>‑</w:t>
      </w:r>
      <w:r>
        <w:t xml:space="preserve">Builder’s exclusive responsibility under </w:t>
      </w:r>
      <w:r w:rsidR="008244AE">
        <w:t>GP 1</w:t>
      </w:r>
      <w:r>
        <w:rPr>
          <w:rFonts w:ascii="Cambria Math" w:hAnsi="Cambria Math" w:cs="Cambria Math"/>
        </w:rPr>
        <w:t>‑</w:t>
      </w:r>
      <w:r>
        <w:t>04.4(5)(k) and are not eligible for change orders or time extensions.</w:t>
      </w:r>
    </w:p>
    <w:p w14:paraId="57C855AD" w14:textId="241F6E35" w:rsidR="004245A7" w:rsidRDefault="004245A7" w:rsidP="002265FE">
      <w:pPr>
        <w:pStyle w:val="BodyText"/>
      </w:pPr>
      <w:r w:rsidRPr="004245A7">
        <w:t>Skanska did not provide a progress schedule analysis with its protest supplements within the timelines of Section 1</w:t>
      </w:r>
      <w:r w:rsidRPr="004245A7">
        <w:rPr>
          <w:rFonts w:ascii="Cambria Math" w:hAnsi="Cambria Math" w:cs="Cambria Math"/>
        </w:rPr>
        <w:t>‑</w:t>
      </w:r>
      <w:r w:rsidRPr="004245A7">
        <w:t>04.5. A later Time Impact Analysis (TIA 003, submitted with Skanska LTR 261 on 2025</w:t>
      </w:r>
      <w:r w:rsidRPr="004245A7">
        <w:rPr>
          <w:rFonts w:ascii="Cambria Math" w:hAnsi="Cambria Math" w:cs="Cambria Math"/>
        </w:rPr>
        <w:t>‑</w:t>
      </w:r>
      <w:r w:rsidRPr="004245A7">
        <w:t>10</w:t>
      </w:r>
      <w:r w:rsidRPr="004245A7">
        <w:rPr>
          <w:rFonts w:ascii="Cambria Math" w:hAnsi="Cambria Math" w:cs="Cambria Math"/>
        </w:rPr>
        <w:t>‑</w:t>
      </w:r>
      <w:r w:rsidRPr="004245A7">
        <w:t>28)</w:t>
      </w:r>
      <w:r w:rsidR="002A2795">
        <w:t xml:space="preserve"> was provided.. </w:t>
      </w:r>
      <w:r w:rsidRPr="004245A7">
        <w:t xml:space="preserve">WSDOT’s </w:t>
      </w:r>
      <w:r w:rsidR="009A0245">
        <w:t xml:space="preserve">position </w:t>
      </w:r>
      <w:r w:rsidR="002A2795">
        <w:t>remains that no</w:t>
      </w:r>
      <w:r w:rsidRPr="004245A7">
        <w:t xml:space="preserve"> Contract</w:t>
      </w:r>
      <w:r w:rsidRPr="004245A7">
        <w:rPr>
          <w:rFonts w:ascii="Cambria Math" w:hAnsi="Cambria Math" w:cs="Cambria Math"/>
        </w:rPr>
        <w:t>‑</w:t>
      </w:r>
      <w:r w:rsidRPr="004245A7">
        <w:t>compliant critical path delay attributable to WSDOT</w:t>
      </w:r>
      <w:r w:rsidR="002A2795">
        <w:t xml:space="preserve"> has been demonstrated</w:t>
      </w:r>
      <w:r w:rsidRPr="004245A7">
        <w:t>.</w:t>
      </w:r>
    </w:p>
    <w:p w14:paraId="02F4A3CE" w14:textId="4DD58EFD" w:rsidR="002265FE" w:rsidRPr="005F4076" w:rsidRDefault="002265FE" w:rsidP="0011302C">
      <w:pPr>
        <w:pStyle w:val="Heading2"/>
      </w:pPr>
      <w:bookmarkStart w:id="25" w:name="_Toc220002727"/>
      <w:r w:rsidRPr="005F4076">
        <w:t>DRB path and limited remediation</w:t>
      </w:r>
      <w:bookmarkEnd w:id="25"/>
    </w:p>
    <w:p w14:paraId="1E5E30D2" w14:textId="42FD581B" w:rsidR="009678D3" w:rsidRDefault="002265FE" w:rsidP="0011302C">
      <w:pPr>
        <w:pStyle w:val="BodyText"/>
      </w:pPr>
      <w:r>
        <w:t xml:space="preserve">WSDOT acknowledges that Skanska LTR 221 (August 13, 2025) formally requested Disputes Review Board involvement under </w:t>
      </w:r>
      <w:r w:rsidR="008244AE">
        <w:t>GP 1</w:t>
      </w:r>
      <w:r>
        <w:rPr>
          <w:rFonts w:ascii="Cambria Math" w:hAnsi="Cambria Math" w:cs="Cambria Math"/>
        </w:rPr>
        <w:t>‑</w:t>
      </w:r>
      <w:r>
        <w:t xml:space="preserve">04.5(1) and that WSDOT SL 145 (August 27, 2025) responded by instructing Skanska to provide a written Dispute Referral and prepare for a hearing in accordance with </w:t>
      </w:r>
      <w:r w:rsidR="008244AE">
        <w:t>GP 1</w:t>
      </w:r>
      <w:r>
        <w:rPr>
          <w:rFonts w:ascii="Cambria Math" w:hAnsi="Cambria Math" w:cs="Cambria Math"/>
        </w:rPr>
        <w:t>‑</w:t>
      </w:r>
      <w:r>
        <w:t>04.5(1).1.8. WSDOT will participate in DRB proceedings to confirm the contractual allocation of risk and to resolve any remaining issues consistent with the Contract. However, WSDOT’s position is that</w:t>
      </w:r>
      <w:r w:rsidR="002A2795">
        <w:t xml:space="preserve"> </w:t>
      </w:r>
      <w:r>
        <w:t>the only aspect of Protest 001 appropriate for further consideration is the narrowly defined maintenance/cleanout component for Vault NW12</w:t>
      </w:r>
      <w:r w:rsidR="00720A6A">
        <w:t xml:space="preserve"> - </w:t>
      </w:r>
      <w:r>
        <w:t>limited to the February 3–13, 2025 window</w:t>
      </w:r>
      <w:r w:rsidR="00720A6A">
        <w:t xml:space="preserve"> - </w:t>
      </w:r>
      <w:r>
        <w:t>addressed as a discrete equitable adjustment and Force Account matter consistent with WSDOT SL 121 and WSDOT SL 131.</w:t>
      </w:r>
    </w:p>
    <w:p w14:paraId="76645ACA" w14:textId="5496CFEC" w:rsidR="005C746B" w:rsidRDefault="005C746B" w:rsidP="0011302C">
      <w:pPr>
        <w:pStyle w:val="Heading2"/>
      </w:pPr>
      <w:r>
        <w:t xml:space="preserve"> </w:t>
      </w:r>
      <w:bookmarkStart w:id="26" w:name="_Toc220002728"/>
      <w:r>
        <w:t>Vault NW12 Classification as Highway Infrastructure</w:t>
      </w:r>
      <w:r w:rsidR="00CD6001">
        <w:t>, NOT Utility</w:t>
      </w:r>
      <w:bookmarkEnd w:id="26"/>
    </w:p>
    <w:p w14:paraId="0B4218C0" w14:textId="3B502673" w:rsidR="005C746B" w:rsidRDefault="005C746B" w:rsidP="00CD6001">
      <w:pPr>
        <w:pStyle w:val="BodyText"/>
      </w:pPr>
      <w:r>
        <w:t>Vault NW12 is classified as highway drainage infrastructure, not a Utility as that term is defined under Washington law and the Contract. This classification is relevant because Skanska may argue that Vault NW12 is a Utility and therefore WSDOT, as the facility owner, should have accurately located and described it ("you own it, so you should know its size").</w:t>
      </w:r>
    </w:p>
    <w:p w14:paraId="2B68D35D" w14:textId="1A2694D9" w:rsidR="005C746B" w:rsidRDefault="005C746B" w:rsidP="00CD6001">
      <w:pPr>
        <w:pStyle w:val="BodyText"/>
      </w:pPr>
      <w:r>
        <w:lastRenderedPageBreak/>
        <w:t>WAC 468-34-110(52) Application: WAC 468-34-110(52) defines Utility but explicitly excludes "utility-type facilities required for the support, control, operation, and maintenance of the highway system, if they are owned and controlled by the highway authority." Vault NW12 is owned and controlled by WSDOT and provides drainage for the I-405 median—a function required for operation and maintenance of the highway system. Under WAC 468-34-110(52), Vault NW12 is therefore explicitly NOT a "utility."</w:t>
      </w:r>
    </w:p>
    <w:p w14:paraId="4FFC0F98" w14:textId="583FDE37" w:rsidR="00CD6001" w:rsidRDefault="009678D3" w:rsidP="00CD6001">
      <w:pPr>
        <w:pStyle w:val="BodyText"/>
        <w:rPr>
          <w:i/>
          <w:iCs/>
        </w:rPr>
      </w:pPr>
      <w:r w:rsidRPr="009678D3">
        <w:rPr>
          <w:i/>
          <w:iCs/>
        </w:rPr>
        <w:t xml:space="preserve">Contractor Responsibility </w:t>
      </w:r>
      <w:r w:rsidR="00CD6001">
        <w:rPr>
          <w:i/>
          <w:iCs/>
        </w:rPr>
        <w:t>Does Not Change Classification</w:t>
      </w:r>
      <w:r w:rsidRPr="009678D3">
        <w:rPr>
          <w:i/>
          <w:iCs/>
        </w:rPr>
        <w:t>:</w:t>
      </w:r>
      <w:r w:rsidR="00CD6001">
        <w:rPr>
          <w:i/>
          <w:iCs/>
        </w:rPr>
        <w:br/>
      </w:r>
      <w:r w:rsidRPr="009678D3">
        <w:rPr>
          <w:i/>
          <w:iCs/>
        </w:rPr>
        <w:t xml:space="preserve"> The WAC's "owned and controlled by the highway authority" language refers to asset ownership and governance, not temporary construction-phase work responsibilities. WSDOT retains ownership of Vault NW12 throughout the project, and TR 2.14.5.6's directive to fill and abandon the vault confirms WSDOT's continuing control over the disposition of its asset. Contractual delegation of Work to a contractor does not transfer ownership or control in the statutory sense.</w:t>
      </w:r>
    </w:p>
    <w:p w14:paraId="3D90C08D" w14:textId="24227CDF" w:rsidR="009678D3" w:rsidRPr="00CD6001" w:rsidRDefault="00CD6001" w:rsidP="00CD6001">
      <w:pPr>
        <w:pStyle w:val="BodyText"/>
        <w:rPr>
          <w:i/>
          <w:iCs/>
        </w:rPr>
      </w:pPr>
      <w:r>
        <w:rPr>
          <w:i/>
          <w:iCs/>
        </w:rPr>
        <w:t>Scheduled Decommissioning Does Not Change Classification:</w:t>
      </w:r>
      <w:r>
        <w:rPr>
          <w:i/>
          <w:iCs/>
        </w:rPr>
        <w:br/>
      </w:r>
      <w:r w:rsidRPr="00CD6001">
        <w:rPr>
          <w:i/>
          <w:iCs/>
        </w:rPr>
        <w:t>The fact Vault NW12 is scheduled to be filled and abandoned under TR 2.14.5.6 does not remove it from the WAC exclusion. The classification question relates to what the vault IS during the relevant period, not what it will become. Until actually filled and abandoned, the vault continues to provide drainage for the I-405 median and remains “required for operation and maintenance” of the highway system. Future disposition does not retroactively alter classification during the period a facility is in service. Moreover, Skanska’s own means-and-methods choice to stage traffic over the vault, rather than proceeding directly to abandonment, extended its operational role and triggered the load-rating and investigation activities at issue.</w:t>
      </w:r>
    </w:p>
    <w:p w14:paraId="07C89BDA" w14:textId="79A0793B" w:rsidR="005C746B" w:rsidRDefault="005C746B" w:rsidP="00CD6001">
      <w:pPr>
        <w:pStyle w:val="BodyText"/>
      </w:pPr>
      <w:r>
        <w:t>Contract Definition: The Contract definition of "Utility(</w:t>
      </w:r>
      <w:proofErr w:type="spellStart"/>
      <w:r>
        <w:t>ies</w:t>
      </w:r>
      <w:proofErr w:type="spellEnd"/>
      <w:r>
        <w:t>)" in GP 1-01.3 independently confirms this classification, defining utilities as "excluding WSDOT-owned lines, facilities, or systems."</w:t>
      </w:r>
    </w:p>
    <w:p w14:paraId="36BFAC56" w14:textId="77777777" w:rsidR="005C746B" w:rsidRDefault="005C746B" w:rsidP="005C746B">
      <w:pPr>
        <w:pStyle w:val="BodyText"/>
      </w:pPr>
      <w:r w:rsidRPr="005C746B">
        <w:rPr>
          <w:b/>
          <w:bCs/>
        </w:rPr>
        <w:t>Why Classification Matters:</w:t>
      </w:r>
      <w:r w:rsidRPr="005C746B">
        <w:t xml:space="preserve"> </w:t>
      </w:r>
    </w:p>
    <w:p w14:paraId="1595BBC5" w14:textId="1C57BB7B" w:rsidR="005C746B" w:rsidRDefault="005C746B" w:rsidP="00CD6001">
      <w:pPr>
        <w:pStyle w:val="BodyText"/>
      </w:pPr>
      <w:r w:rsidRPr="005C746B">
        <w:t>Utilities occupying highway rights-of-way are subject to permit and franchise requirements that generate detailed location and dimension records. Highway infrastructure such as drainage vaults is documented through as-built drawings created at time of original construction. The distinction explains what kind of records WSDOT would have and why the Reference Document framework—rather than utility accommodation standards—governs the allocation of risk for as-built accuracy.</w:t>
      </w:r>
    </w:p>
    <w:p w14:paraId="61E764B8" w14:textId="77777777" w:rsidR="005C746B" w:rsidRDefault="005C746B" w:rsidP="005C746B">
      <w:pPr>
        <w:pStyle w:val="BodyText"/>
      </w:pPr>
      <w:r w:rsidRPr="005C746B">
        <w:rPr>
          <w:b/>
          <w:bCs/>
        </w:rPr>
        <w:t>RCW 19.122 ("Dig Law") - If Raised by Skanska:</w:t>
      </w:r>
      <w:r w:rsidRPr="005C746B">
        <w:t xml:space="preserve"> </w:t>
      </w:r>
    </w:p>
    <w:p w14:paraId="06204C89" w14:textId="6CC018A6" w:rsidR="005C746B" w:rsidRDefault="005C746B" w:rsidP="00CD6001">
      <w:pPr>
        <w:pStyle w:val="BodyText"/>
      </w:pPr>
      <w:r w:rsidRPr="005C746B">
        <w:t xml:space="preserve">Skanska may argue that storm drains are recognized as "unlocatable" facilities under RCW 19.122.020(37) that cannot be marked with reasonable accuracy, and therefore Skanska could not have known the actual dimensions pre-bid—supporting a changed conditions argument. </w:t>
      </w:r>
    </w:p>
    <w:p w14:paraId="5E75DACE" w14:textId="207E96A3" w:rsidR="005C746B" w:rsidRDefault="005C746B" w:rsidP="00CD6001">
      <w:pPr>
        <w:pStyle w:val="BodyText"/>
      </w:pPr>
      <w:r w:rsidRPr="005C746B">
        <w:rPr>
          <w:i/>
          <w:iCs/>
        </w:rPr>
        <w:t>WSDOT's rebuttal:</w:t>
      </w:r>
      <w:r w:rsidRPr="005C746B">
        <w:t xml:space="preserve"> (1) WSDOT disclosed what it knew by providing Appendix N1 as-builts, satisfying RCW 19.122.040's disclosure requirement; (2) "Unlocatable" refers to marking accuracy, not existence—the vault's existence and general location were disclosed; (3) RCW 19.122.040 requires excavators to exercise "reasonable care" including verification and investigation; (4) The Contract framework (GP 1-01.3, GP 1-02.2, GP 1-02.4(1)) controls and allocates verification risk to the Design-Builder.</w:t>
      </w:r>
    </w:p>
    <w:p w14:paraId="4B04120F" w14:textId="1B7DBDBC" w:rsidR="005C746B" w:rsidRDefault="005C746B" w:rsidP="005C746B">
      <w:pPr>
        <w:pStyle w:val="BodyText"/>
      </w:pPr>
      <w:r w:rsidRPr="005C746B">
        <w:rPr>
          <w:i/>
          <w:iCs/>
        </w:rPr>
        <w:t>Key Point:</w:t>
      </w:r>
      <w:r w:rsidRPr="005C746B">
        <w:t xml:space="preserve"> Regardless of any utility classification argument, the Contract's Reference Document framework (GP 1-01.3, GP 1-02.2) and site examination requirements (GP 1-02.4(1)) apply and remain </w:t>
      </w:r>
      <w:r w:rsidRPr="005C746B">
        <w:lastRenderedPageBreak/>
        <w:t>the controlling provisions for this protest. The Contract allocates Reference Document accuracy risk to the Design-Builder.</w:t>
      </w:r>
    </w:p>
    <w:p w14:paraId="7DA6FE39" w14:textId="77777777" w:rsidR="005C746B" w:rsidRPr="005C746B" w:rsidRDefault="005C746B" w:rsidP="005C746B">
      <w:pPr>
        <w:pStyle w:val="BodyText"/>
      </w:pPr>
    </w:p>
    <w:p w14:paraId="4EC18B65" w14:textId="77777777" w:rsidR="00352E1D" w:rsidRPr="006E7F73" w:rsidRDefault="07730DDF" w:rsidP="006E7F73">
      <w:pPr>
        <w:pStyle w:val="Heading1"/>
      </w:pPr>
      <w:bookmarkStart w:id="27" w:name="8_Conclusion"/>
      <w:bookmarkStart w:id="28" w:name="_Toc220002729"/>
      <w:bookmarkEnd w:id="27"/>
      <w:r>
        <w:t>Conclusion</w:t>
      </w:r>
      <w:bookmarkEnd w:id="28"/>
    </w:p>
    <w:p w14:paraId="5D53EF0E" w14:textId="248DD468" w:rsidR="00FB19E8" w:rsidRDefault="00FB19E8" w:rsidP="00FB19E8">
      <w:pPr>
        <w:pStyle w:val="BodyText"/>
      </w:pPr>
      <w:r>
        <w:t>Differences between Appendix N1 reference/as</w:t>
      </w:r>
      <w:r>
        <w:rPr>
          <w:rFonts w:ascii="Cambria Math" w:hAnsi="Cambria Math" w:cs="Cambria Math"/>
        </w:rPr>
        <w:t>‑</w:t>
      </w:r>
      <w:r>
        <w:t xml:space="preserve">built information and field conditions do not create entitlement under </w:t>
      </w:r>
      <w:r w:rsidR="00C11A5F">
        <w:t>GP</w:t>
      </w:r>
      <w:r>
        <w:t xml:space="preserve"> 1</w:t>
      </w:r>
      <w:r>
        <w:rPr>
          <w:rFonts w:ascii="Cambria Math" w:hAnsi="Cambria Math" w:cs="Cambria Math"/>
        </w:rPr>
        <w:t>‑</w:t>
      </w:r>
      <w:r>
        <w:t>01.3 and 1</w:t>
      </w:r>
      <w:r>
        <w:rPr>
          <w:rFonts w:ascii="Cambria Math" w:hAnsi="Cambria Math" w:cs="Cambria Math"/>
        </w:rPr>
        <w:t>‑</w:t>
      </w:r>
      <w:r>
        <w:t>02.2; Appendix N1 is a Reference Document, and the Design</w:t>
      </w:r>
      <w:r>
        <w:rPr>
          <w:rFonts w:ascii="Cambria Math" w:hAnsi="Cambria Math" w:cs="Cambria Math"/>
        </w:rPr>
        <w:t>‑</w:t>
      </w:r>
      <w:r>
        <w:t>Builder is required to verify and use such materials at its own risk. WSDOT has repeatedly determined there is no merit for design/construction impacts or for the as</w:t>
      </w:r>
      <w:r>
        <w:rPr>
          <w:rFonts w:ascii="Cambria Math" w:hAnsi="Cambria Math" w:cs="Cambria Math"/>
        </w:rPr>
        <w:t>‑</w:t>
      </w:r>
      <w:r>
        <w:t>built/RFP documentation</w:t>
      </w:r>
      <w:r w:rsidR="002A2795">
        <w:t>.</w:t>
      </w:r>
      <w:r>
        <w:t xml:space="preserve"> </w:t>
      </w:r>
      <w:r w:rsidR="00C11A5F">
        <w:t>GP</w:t>
      </w:r>
      <w:r>
        <w:t xml:space="preserve"> 1</w:t>
      </w:r>
      <w:r>
        <w:rPr>
          <w:rFonts w:ascii="Cambria Math" w:hAnsi="Cambria Math" w:cs="Cambria Math"/>
        </w:rPr>
        <w:t>‑</w:t>
      </w:r>
      <w:r>
        <w:t>04.5</w:t>
      </w:r>
      <w:r w:rsidR="007211FE">
        <w:t xml:space="preserve"> establishes the procedural framework for protest supplements, including timing and content requirements</w:t>
      </w:r>
      <w:r>
        <w:t>.</w:t>
      </w:r>
    </w:p>
    <w:p w14:paraId="26262590" w14:textId="17B854BB" w:rsidR="00CD6001" w:rsidRDefault="00CD6001" w:rsidP="00FB19E8">
      <w:pPr>
        <w:pStyle w:val="BodyText"/>
      </w:pPr>
      <w:r>
        <w:t>Vault NW12 is highway drainage infrastructure under WAC 468-34-110(52), not a Utility and Utility accommodation standards do not apply. The Design-Builder’s assumption of maintenance responsibilities and the vault’s scheduled decommissioning do not alter this classification.</w:t>
      </w:r>
    </w:p>
    <w:p w14:paraId="7806E3BE" w14:textId="029786D6" w:rsidR="00FB19E8" w:rsidRDefault="004C1A1E" w:rsidP="00FB19E8">
      <w:pPr>
        <w:pStyle w:val="BodyText"/>
      </w:pPr>
      <w:r>
        <w:t>TR</w:t>
      </w:r>
      <w:r w:rsidR="00FB19E8">
        <w:t xml:space="preserve"> 2.14.5.6 governs Vault NW12 and establishes the default end</w:t>
      </w:r>
      <w:r w:rsidR="00FB19E8">
        <w:rPr>
          <w:rFonts w:ascii="Cambria Math" w:hAnsi="Cambria Math" w:cs="Cambria Math"/>
        </w:rPr>
        <w:t>‑</w:t>
      </w:r>
      <w:r w:rsidR="00FB19E8">
        <w:t xml:space="preserve">state: fill and abandon in place unless another Contract Document specifically requires removal. Read together with </w:t>
      </w:r>
      <w:r>
        <w:t>TR</w:t>
      </w:r>
      <w:r w:rsidR="00FB19E8">
        <w:t xml:space="preserve"> 2.13.7.4, which requires the Load Rating Report at least 90 Calendar Days before opening to traffic, the Contract allocates responsibility to the Design</w:t>
      </w:r>
      <w:r w:rsidR="00FB19E8">
        <w:rPr>
          <w:rFonts w:ascii="Cambria Math" w:hAnsi="Cambria Math" w:cs="Cambria Math"/>
        </w:rPr>
        <w:t>‑</w:t>
      </w:r>
      <w:r w:rsidR="00FB19E8">
        <w:t>Builder to select and sequence its design solutions and MOT/staging so that any load</w:t>
      </w:r>
      <w:r w:rsidR="00FB19E8">
        <w:rPr>
          <w:rFonts w:ascii="Cambria Math" w:hAnsi="Cambria Math" w:cs="Cambria Math"/>
        </w:rPr>
        <w:t>‑</w:t>
      </w:r>
      <w:r w:rsidR="00FB19E8">
        <w:t>rating and temporary</w:t>
      </w:r>
      <w:r w:rsidR="00FB19E8">
        <w:rPr>
          <w:rFonts w:ascii="Cambria Math" w:hAnsi="Cambria Math" w:cs="Cambria Math"/>
        </w:rPr>
        <w:t>‑</w:t>
      </w:r>
      <w:r w:rsidR="00FB19E8">
        <w:t>works needs are addressed within the 90</w:t>
      </w:r>
      <w:r w:rsidR="00FB19E8">
        <w:rPr>
          <w:rFonts w:ascii="Cambria Math" w:hAnsi="Cambria Math" w:cs="Cambria Math"/>
        </w:rPr>
        <w:t>‑</w:t>
      </w:r>
      <w:r w:rsidR="00FB19E8">
        <w:t>day review framework. Interim load analysis, internal shoring, lid investigation, or similar work undertaken to support the Design</w:t>
      </w:r>
      <w:r w:rsidR="00FB19E8">
        <w:rPr>
          <w:rFonts w:ascii="Cambria Math" w:hAnsi="Cambria Math" w:cs="Cambria Math"/>
        </w:rPr>
        <w:t>‑</w:t>
      </w:r>
      <w:r w:rsidR="00FB19E8">
        <w:t xml:space="preserve">Builder’s chosen staging over the vault—rather than proceeding directly toward abandonment in accordance with </w:t>
      </w:r>
      <w:r w:rsidR="004F4D50">
        <w:t>TR 2</w:t>
      </w:r>
      <w:r w:rsidR="00FB19E8">
        <w:t>.14.5.6—are treated as design, means, and methods within the Design</w:t>
      </w:r>
      <w:r w:rsidR="00FB19E8">
        <w:rPr>
          <w:rFonts w:ascii="Cambria Math" w:hAnsi="Cambria Math" w:cs="Cambria Math"/>
        </w:rPr>
        <w:t>‑</w:t>
      </w:r>
      <w:r w:rsidR="00FB19E8">
        <w:t xml:space="preserve">Builder’s exclusive responsibility under </w:t>
      </w:r>
      <w:r w:rsidR="008244AE">
        <w:t>GP 1</w:t>
      </w:r>
      <w:r w:rsidR="00FB19E8">
        <w:rPr>
          <w:rFonts w:ascii="Cambria Math" w:hAnsi="Cambria Math" w:cs="Cambria Math"/>
        </w:rPr>
        <w:t>‑</w:t>
      </w:r>
      <w:r w:rsidR="00FB19E8">
        <w:t>04.4(5)(k). Any time relief would additionally require proof of critical</w:t>
      </w:r>
      <w:r w:rsidR="00FB19E8">
        <w:rPr>
          <w:rFonts w:ascii="Cambria Math" w:hAnsi="Cambria Math" w:cs="Cambria Math"/>
        </w:rPr>
        <w:t>‑</w:t>
      </w:r>
      <w:r w:rsidR="00FB19E8">
        <w:t xml:space="preserve">path delay and timely requests under </w:t>
      </w:r>
      <w:r w:rsidR="00C11A5F">
        <w:t>GP</w:t>
      </w:r>
      <w:r w:rsidR="00FB19E8">
        <w:t xml:space="preserve"> 1</w:t>
      </w:r>
      <w:r w:rsidR="00FB19E8">
        <w:rPr>
          <w:rFonts w:ascii="Cambria Math" w:hAnsi="Cambria Math" w:cs="Cambria Math"/>
        </w:rPr>
        <w:t>‑</w:t>
      </w:r>
      <w:r w:rsidR="00FB19E8">
        <w:t>08.6 and 1</w:t>
      </w:r>
      <w:r w:rsidR="00FB19E8">
        <w:rPr>
          <w:rFonts w:ascii="Cambria Math" w:hAnsi="Cambria Math" w:cs="Cambria Math"/>
        </w:rPr>
        <w:t>‑</w:t>
      </w:r>
      <w:r w:rsidR="00FB19E8">
        <w:t>08.8</w:t>
      </w:r>
      <w:r w:rsidR="007211FE">
        <w:t>.</w:t>
      </w:r>
      <w:r w:rsidR="00566FBC" w:rsidRPr="00566FBC">
        <w:t xml:space="preserve"> Skanska later submitted TIA 003</w:t>
      </w:r>
      <w:r w:rsidR="007211FE">
        <w:t>;</w:t>
      </w:r>
      <w:r w:rsidR="00566FBC" w:rsidRPr="00566FBC">
        <w:t xml:space="preserve"> WSDOT</w:t>
      </w:r>
      <w:r w:rsidR="007211FE">
        <w:t xml:space="preserve">’s position remains </w:t>
      </w:r>
      <w:r w:rsidR="00566FBC" w:rsidRPr="00566FBC">
        <w:t>that no Contract</w:t>
      </w:r>
      <w:r w:rsidR="00566FBC" w:rsidRPr="00566FBC">
        <w:rPr>
          <w:rFonts w:ascii="Cambria Math" w:hAnsi="Cambria Math" w:cs="Cambria Math"/>
        </w:rPr>
        <w:t>‑</w:t>
      </w:r>
      <w:r w:rsidR="00566FBC" w:rsidRPr="00566FBC">
        <w:t>compliant critical path delay or entitlement to time has been established.</w:t>
      </w:r>
    </w:p>
    <w:p w14:paraId="3B5BF34C" w14:textId="0D208EDB" w:rsidR="00FB19E8" w:rsidRDefault="00FB19E8" w:rsidP="00FB19E8">
      <w:pPr>
        <w:pStyle w:val="BodyText"/>
      </w:pPr>
      <w:r>
        <w:t>Consistent with partnering, WSDOT is willing to provide limited compensation for a defined initial maintenance cleanout window for Vault NW12, from February 3–13, 2025, evaluated as a discrete equitable adjustment under Sections 1</w:t>
      </w:r>
      <w:r>
        <w:rPr>
          <w:rFonts w:ascii="Cambria Math" w:hAnsi="Cambria Math" w:cs="Cambria Math"/>
        </w:rPr>
        <w:t>‑</w:t>
      </w:r>
      <w:r>
        <w:t>09.4 and 1</w:t>
      </w:r>
      <w:r>
        <w:rPr>
          <w:rFonts w:ascii="Cambria Math" w:hAnsi="Cambria Math" w:cs="Cambria Math"/>
        </w:rPr>
        <w:t>‑</w:t>
      </w:r>
      <w:r>
        <w:t>09.6 and Appendix D (WSDOT Maintenance Manual M51</w:t>
      </w:r>
      <w:r>
        <w:rPr>
          <w:rFonts w:ascii="Cambria Math" w:hAnsi="Cambria Math" w:cs="Cambria Math"/>
        </w:rPr>
        <w:t>‑</w:t>
      </w:r>
      <w:r>
        <w:t xml:space="preserve">01). Beyond that narrowly defined maintenance scope, WSDOT denies entitlement for broader cost or time impacts </w:t>
      </w:r>
      <w:r w:rsidR="00D640D9">
        <w:t>premised</w:t>
      </w:r>
      <w:r>
        <w:t xml:space="preserve"> on Reference Documents, design choices, </w:t>
      </w:r>
      <w:r w:rsidR="007211FE">
        <w:t xml:space="preserve">or </w:t>
      </w:r>
      <w:r>
        <w:t>means and</w:t>
      </w:r>
      <w:r w:rsidR="00CD6001">
        <w:t xml:space="preserve"> </w:t>
      </w:r>
      <w:r>
        <w:t>methods</w:t>
      </w:r>
      <w:r w:rsidR="0011302C">
        <w:t xml:space="preserve"> </w:t>
      </w:r>
      <w:r>
        <w:t>and incomplete protest supplements.</w:t>
      </w:r>
    </w:p>
    <w:p w14:paraId="0BA0584D" w14:textId="48B88D14" w:rsidR="00DE1DC3" w:rsidRDefault="00DE1DC3" w:rsidP="00FB19E8">
      <w:pPr>
        <w:pStyle w:val="BodyText"/>
      </w:pPr>
      <w:r w:rsidRPr="00DE1DC3">
        <w:t>Read together, TR 2.14.5.2, TR 2.29.1, and TR 2.29.4.7 confirm that cleaning and maintaining existing stormwater facilities within the Project limits, including Vault NW12, is part of the Design-Builder’s ongoing maintenance obligations during construction, with WSDOT’s limited February 3–13, 2025 maintenance cleanout offer representing a partnering-based accommodation rather than recognition of new entitlement.</w:t>
      </w:r>
    </w:p>
    <w:p w14:paraId="194BCBE8" w14:textId="0D4DCCB5" w:rsidR="006E7F73" w:rsidRDefault="00FB19E8" w:rsidP="00FB19E8">
      <w:pPr>
        <w:pStyle w:val="BodyText"/>
      </w:pPr>
      <w:r>
        <w:t xml:space="preserve">Next steps are for Skanska to provide any final corrected Force Account submittal for the February 3–13, 2025 maintenance cleanout window consistent with WSDOT SL 121 and WSDOT SL 131, and for the Parties to proceed with any necessary Dispute Review Board process under </w:t>
      </w:r>
      <w:r w:rsidR="008244AE">
        <w:t>GP 1</w:t>
      </w:r>
      <w:r>
        <w:rPr>
          <w:rFonts w:ascii="Cambria Math" w:hAnsi="Cambria Math" w:cs="Cambria Math"/>
        </w:rPr>
        <w:t>‑</w:t>
      </w:r>
      <w:r>
        <w:t>04.5(1) to confirm the contractual allocation of risk while the Design</w:t>
      </w:r>
      <w:r>
        <w:rPr>
          <w:rFonts w:ascii="Cambria Math" w:hAnsi="Cambria Math" w:cs="Cambria Math"/>
        </w:rPr>
        <w:t>‑</w:t>
      </w:r>
      <w:r>
        <w:t xml:space="preserve">Builder advances abandonment planning and overall </w:t>
      </w:r>
      <w:r>
        <w:lastRenderedPageBreak/>
        <w:t xml:space="preserve">project staging in accordance with </w:t>
      </w:r>
      <w:r w:rsidR="004C1A1E">
        <w:t>TR</w:t>
      </w:r>
      <w:r>
        <w:t xml:space="preserve"> 2.14.5.6 and the rest of the Contract.</w:t>
      </w:r>
    </w:p>
    <w:p w14:paraId="4EC18B6D" w14:textId="7D3D39ED" w:rsidR="00352E1D" w:rsidRPr="006E7F73" w:rsidRDefault="07730DDF" w:rsidP="006E7F73">
      <w:pPr>
        <w:pStyle w:val="Heading1"/>
      </w:pPr>
      <w:bookmarkStart w:id="29" w:name="9_Recommendations_Sought_From_the_DRB"/>
      <w:bookmarkStart w:id="30" w:name="_Toc220002730"/>
      <w:bookmarkEnd w:id="29"/>
      <w:r>
        <w:t>Recommenda</w:t>
      </w:r>
      <w:r w:rsidR="04869493">
        <w:t>ti</w:t>
      </w:r>
      <w:r>
        <w:t>ons Sought From the DRB</w:t>
      </w:r>
      <w:bookmarkEnd w:id="30"/>
    </w:p>
    <w:p w14:paraId="5F01A2B2" w14:textId="77777777" w:rsidR="003067F2" w:rsidRPr="003067F2" w:rsidRDefault="003067F2" w:rsidP="0011302C">
      <w:pPr>
        <w:pStyle w:val="Heading2"/>
      </w:pPr>
      <w:bookmarkStart w:id="31" w:name="_Toc220002731"/>
      <w:r w:rsidRPr="003067F2">
        <w:t>Reference Documents and entitlement (GP 1</w:t>
      </w:r>
      <w:r w:rsidRPr="003067F2">
        <w:rPr>
          <w:rFonts w:ascii="Cambria Math" w:hAnsi="Cambria Math" w:cs="Cambria Math"/>
        </w:rPr>
        <w:t>‑</w:t>
      </w:r>
      <w:r w:rsidRPr="003067F2">
        <w:t>01.3, GP 1</w:t>
      </w:r>
      <w:r w:rsidRPr="003067F2">
        <w:rPr>
          <w:rFonts w:ascii="Cambria Math" w:hAnsi="Cambria Math" w:cs="Cambria Math"/>
        </w:rPr>
        <w:t>‑</w:t>
      </w:r>
      <w:r w:rsidRPr="003067F2">
        <w:t>02.2, TR 2.5.3.1)</w:t>
      </w:r>
      <w:bookmarkEnd w:id="31"/>
    </w:p>
    <w:p w14:paraId="5CCB5DE1" w14:textId="77777777" w:rsidR="003067F2" w:rsidRPr="003067F2" w:rsidRDefault="003067F2" w:rsidP="003067F2">
      <w:pPr>
        <w:pStyle w:val="BodyText"/>
        <w:ind w:left="720"/>
      </w:pPr>
      <w:r w:rsidRPr="003067F2">
        <w:t>Confirm that Appendix N1 is a Reference Document and that, under GP 1</w:t>
      </w:r>
      <w:r w:rsidRPr="003067F2">
        <w:rPr>
          <w:rFonts w:ascii="Cambria Math" w:hAnsi="Cambria Math" w:cs="Cambria Math"/>
        </w:rPr>
        <w:t>‑</w:t>
      </w:r>
      <w:r w:rsidRPr="003067F2">
        <w:t>01.3 and GP 1</w:t>
      </w:r>
      <w:r w:rsidRPr="003067F2">
        <w:rPr>
          <w:rFonts w:ascii="Cambria Math" w:hAnsi="Cambria Math" w:cs="Cambria Math"/>
        </w:rPr>
        <w:t>‑</w:t>
      </w:r>
      <w:r w:rsidRPr="003067F2">
        <w:t>02.2 (and related verification obligations such as TR 2.5.3.1), reliance on Appendix N1 as</w:t>
      </w:r>
      <w:r w:rsidRPr="003067F2">
        <w:rPr>
          <w:rFonts w:ascii="Cambria Math" w:hAnsi="Cambria Math" w:cs="Cambria Math"/>
        </w:rPr>
        <w:t>‑</w:t>
      </w:r>
      <w:r w:rsidRPr="003067F2">
        <w:t>builts is at the Design</w:t>
      </w:r>
      <w:r w:rsidRPr="003067F2">
        <w:rPr>
          <w:rFonts w:ascii="Cambria Math" w:hAnsi="Cambria Math" w:cs="Cambria Math"/>
        </w:rPr>
        <w:t>‑</w:t>
      </w:r>
      <w:r w:rsidRPr="003067F2">
        <w:t>Builder’s risk and differences between Appendix N1 and field conditions do not, by themselves, create entitlement to additional cost or time.</w:t>
      </w:r>
    </w:p>
    <w:p w14:paraId="00DD6B11" w14:textId="77777777" w:rsidR="003067F2" w:rsidRPr="003067F2" w:rsidRDefault="003067F2" w:rsidP="0011302C">
      <w:pPr>
        <w:pStyle w:val="Heading2"/>
      </w:pPr>
      <w:bookmarkStart w:id="32" w:name="_Toc220002732"/>
      <w:r w:rsidRPr="003067F2">
        <w:t>Interim works as design/means and methods (TR 2.22.1, TR 2.14.5.6)</w:t>
      </w:r>
      <w:bookmarkEnd w:id="32"/>
    </w:p>
    <w:p w14:paraId="496114FC" w14:textId="77777777" w:rsidR="003067F2" w:rsidRPr="003067F2" w:rsidRDefault="003067F2" w:rsidP="003067F2">
      <w:pPr>
        <w:pStyle w:val="BodyText"/>
        <w:ind w:left="720"/>
      </w:pPr>
      <w:r w:rsidRPr="003067F2">
        <w:t>Confirm that interim load analysis, internal shoring, lid investigation/modification, and similar measures undertaken to support the Design</w:t>
      </w:r>
      <w:r w:rsidRPr="003067F2">
        <w:rPr>
          <w:rFonts w:ascii="Cambria Math" w:hAnsi="Cambria Math" w:cs="Cambria Math"/>
        </w:rPr>
        <w:t>‑</w:t>
      </w:r>
      <w:r w:rsidRPr="003067F2">
        <w:t>Builder’s chosen MOT/staging over Vault NW12 prior to its ultimate abandonment are design and means</w:t>
      </w:r>
      <w:r w:rsidRPr="003067F2">
        <w:rPr>
          <w:rFonts w:ascii="Cambria Math" w:hAnsi="Cambria Math" w:cs="Cambria Math"/>
        </w:rPr>
        <w:t>‑</w:t>
      </w:r>
      <w:r w:rsidRPr="003067F2">
        <w:t>and</w:t>
      </w:r>
      <w:r w:rsidRPr="003067F2">
        <w:rPr>
          <w:rFonts w:ascii="Cambria Math" w:hAnsi="Cambria Math" w:cs="Cambria Math"/>
        </w:rPr>
        <w:t>‑</w:t>
      </w:r>
      <w:r w:rsidRPr="003067F2">
        <w:t>methods responsibilities (e.g., under TR 2.22.1 and TR 2.14.5.6) and do not constitute a WSDOT</w:t>
      </w:r>
      <w:r w:rsidRPr="003067F2">
        <w:rPr>
          <w:rFonts w:ascii="Cambria Math" w:hAnsi="Cambria Math" w:cs="Cambria Math"/>
        </w:rPr>
        <w:t>‑</w:t>
      </w:r>
      <w:r w:rsidRPr="003067F2">
        <w:t>directed change.</w:t>
      </w:r>
    </w:p>
    <w:p w14:paraId="2C6EEF07" w14:textId="77777777" w:rsidR="003067F2" w:rsidRPr="003067F2" w:rsidRDefault="003067F2" w:rsidP="0011302C">
      <w:pPr>
        <w:pStyle w:val="Heading2"/>
      </w:pPr>
      <w:bookmarkStart w:id="33" w:name="_Toc220002733"/>
      <w:r w:rsidRPr="003067F2">
        <w:t>Load Rating Report timing and schedule relief (TR 2.13.7.4, GP 1</w:t>
      </w:r>
      <w:r w:rsidRPr="003067F2">
        <w:rPr>
          <w:rFonts w:ascii="Cambria Math" w:hAnsi="Cambria Math" w:cs="Cambria Math"/>
        </w:rPr>
        <w:t>‑</w:t>
      </w:r>
      <w:r w:rsidRPr="003067F2">
        <w:t>08.6, GP 1</w:t>
      </w:r>
      <w:r w:rsidRPr="003067F2">
        <w:rPr>
          <w:rFonts w:ascii="Cambria Math" w:hAnsi="Cambria Math" w:cs="Cambria Math"/>
        </w:rPr>
        <w:t>‑</w:t>
      </w:r>
      <w:r w:rsidRPr="003067F2">
        <w:t>08.8)</w:t>
      </w:r>
      <w:bookmarkEnd w:id="33"/>
    </w:p>
    <w:p w14:paraId="36D49890" w14:textId="77777777" w:rsidR="003067F2" w:rsidRPr="003067F2" w:rsidRDefault="003067F2" w:rsidP="003067F2">
      <w:pPr>
        <w:pStyle w:val="BodyText"/>
        <w:ind w:left="720"/>
      </w:pPr>
      <w:r w:rsidRPr="003067F2">
        <w:t>Confirm that TR 2.13.7.4 requires the Load Rating Report to be submitted at least 90 Calendar Days before opening a structure to traffic, that submittal alone does not create entitlement, and that any time extension must be supported by demonstrated critical</w:t>
      </w:r>
      <w:r w:rsidRPr="003067F2">
        <w:rPr>
          <w:rFonts w:ascii="Cambria Math" w:hAnsi="Cambria Math" w:cs="Cambria Math"/>
        </w:rPr>
        <w:t>‑</w:t>
      </w:r>
      <w:r w:rsidRPr="003067F2">
        <w:t>path delay and timely requests under GP 1</w:t>
      </w:r>
      <w:r w:rsidRPr="003067F2">
        <w:rPr>
          <w:rFonts w:ascii="Cambria Math" w:hAnsi="Cambria Math" w:cs="Cambria Math"/>
        </w:rPr>
        <w:t>‑</w:t>
      </w:r>
      <w:r w:rsidRPr="003067F2">
        <w:t>08.6 and GP 1</w:t>
      </w:r>
      <w:r w:rsidRPr="003067F2">
        <w:rPr>
          <w:rFonts w:ascii="Cambria Math" w:hAnsi="Cambria Math" w:cs="Cambria Math"/>
        </w:rPr>
        <w:t>‑</w:t>
      </w:r>
      <w:r w:rsidRPr="003067F2">
        <w:t>08.8.</w:t>
      </w:r>
    </w:p>
    <w:p w14:paraId="14EDAEEC" w14:textId="1444F270" w:rsidR="003067F2" w:rsidRPr="003067F2" w:rsidRDefault="003067F2" w:rsidP="0011302C">
      <w:pPr>
        <w:pStyle w:val="Heading2"/>
      </w:pPr>
      <w:bookmarkStart w:id="34" w:name="_Toc220002734"/>
      <w:r w:rsidRPr="003067F2">
        <w:t>Protest procedure as condition precedent (GP 1</w:t>
      </w:r>
      <w:r w:rsidRPr="003067F2">
        <w:rPr>
          <w:rFonts w:ascii="Cambria Math" w:hAnsi="Cambria Math" w:cs="Cambria Math"/>
        </w:rPr>
        <w:t>‑</w:t>
      </w:r>
      <w:r w:rsidRPr="003067F2">
        <w:t>04.5)</w:t>
      </w:r>
      <w:bookmarkEnd w:id="34"/>
    </w:p>
    <w:p w14:paraId="05E0D857" w14:textId="42826C28" w:rsidR="006D41D6" w:rsidRDefault="003067F2" w:rsidP="00073AAD">
      <w:pPr>
        <w:pStyle w:val="BodyText"/>
        <w:ind w:left="720"/>
      </w:pPr>
      <w:r w:rsidRPr="003067F2">
        <w:t>Confirm that GP 1</w:t>
      </w:r>
      <w:r w:rsidRPr="003067F2">
        <w:rPr>
          <w:rFonts w:ascii="Cambria Math" w:hAnsi="Cambria Math" w:cs="Cambria Math"/>
        </w:rPr>
        <w:t>‑</w:t>
      </w:r>
      <w:r w:rsidRPr="003067F2">
        <w:t>04.5 (including item 2 and GP 1</w:t>
      </w:r>
      <w:r w:rsidRPr="003067F2">
        <w:rPr>
          <w:rFonts w:ascii="Cambria Math" w:hAnsi="Cambria Math" w:cs="Cambria Math"/>
        </w:rPr>
        <w:t>‑</w:t>
      </w:r>
      <w:r w:rsidRPr="003067F2">
        <w:t>04.5(1))</w:t>
      </w:r>
      <w:r w:rsidR="00AF781A">
        <w:t xml:space="preserve"> establishes the procedural requirements for protest supplements, including timing and content.</w:t>
      </w:r>
      <w:r w:rsidRPr="003067F2">
        <w:t xml:space="preserve"> </w:t>
      </w:r>
      <w:bookmarkStart w:id="35" w:name="10_List_of_Attachments"/>
      <w:bookmarkEnd w:id="35"/>
    </w:p>
    <w:p w14:paraId="295D4A3C" w14:textId="369D30D3" w:rsidR="00685F2A" w:rsidRDefault="00685F2A" w:rsidP="00CD6001"/>
    <w:sectPr w:rsidR="00685F2A">
      <w:pgSz w:w="12240" w:h="15840"/>
      <w:pgMar w:top="1580" w:right="1080" w:bottom="860" w:left="1080" w:header="758" w:footer="675"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Case, Derek" w:date="2026-02-05T14:39:00Z" w:initials="DC">
    <w:p w14:paraId="5B191A71" w14:textId="77777777" w:rsidR="00771900" w:rsidRDefault="00771900" w:rsidP="00771900">
      <w:pPr>
        <w:pStyle w:val="CommentText"/>
      </w:pPr>
      <w:r>
        <w:rPr>
          <w:rStyle w:val="CommentReference"/>
        </w:rPr>
        <w:annotationRef/>
      </w:r>
      <w:r>
        <w:t>When was the load rating report finally approved?  And when did they make the traffic switch?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191A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0239B0" w16cex:dateUtc="2026-02-05T2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191A71" w16cid:durableId="790239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9B6C3" w14:textId="77777777" w:rsidR="00311190" w:rsidRDefault="00311190">
      <w:r>
        <w:separator/>
      </w:r>
    </w:p>
  </w:endnote>
  <w:endnote w:type="continuationSeparator" w:id="0">
    <w:p w14:paraId="01CAD493" w14:textId="77777777" w:rsidR="00311190" w:rsidRDefault="0031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FE099" w14:textId="3FD2BB1C" w:rsidR="6E285AE6" w:rsidRDefault="6E285AE6" w:rsidP="6E285AE6">
    <w:pPr>
      <w:pStyle w:val="Footer"/>
      <w:jc w:val="right"/>
    </w:pPr>
    <w:r>
      <w:fldChar w:fldCharType="begin"/>
    </w:r>
    <w:r>
      <w:instrText>PAGE</w:instrText>
    </w:r>
    <w:r>
      <w:fldChar w:fldCharType="separate"/>
    </w:r>
    <w:r w:rsidR="00EB422F">
      <w:rPr>
        <w:noProof/>
      </w:rPr>
      <w:t>1</w:t>
    </w:r>
    <w:r>
      <w:fldChar w:fldCharType="end"/>
    </w:r>
    <w:r>
      <w:t xml:space="preserve"> of </w:t>
    </w:r>
    <w:r>
      <w:fldChar w:fldCharType="begin"/>
    </w:r>
    <w:r>
      <w:instrText>NUMPAGES</w:instrText>
    </w:r>
    <w:r>
      <w:fldChar w:fldCharType="separate"/>
    </w:r>
    <w:r w:rsidR="00EB422F">
      <w:rPr>
        <w:noProof/>
      </w:rPr>
      <w:t>2</w:t>
    </w:r>
    <w:r>
      <w:fldChar w:fldCharType="end"/>
    </w:r>
  </w:p>
  <w:p w14:paraId="4EC18BAE" w14:textId="77777777" w:rsidR="00352E1D" w:rsidRDefault="006D10F0" w:rsidP="00041492">
    <w:pPr>
      <w:pStyle w:val="BodyText"/>
    </w:pPr>
    <w:r>
      <w:rPr>
        <w:noProof/>
      </w:rPr>
      <mc:AlternateContent>
        <mc:Choice Requires="wps">
          <w:drawing>
            <wp:anchor distT="0" distB="0" distL="0" distR="0" simplePos="0" relativeHeight="251658240" behindDoc="1" locked="0" layoutInCell="1" allowOverlap="1" wp14:anchorId="4EC18BB1" wp14:editId="4EC18BB2">
              <wp:simplePos x="0" y="0"/>
              <wp:positionH relativeFrom="page">
                <wp:posOffset>896111</wp:posOffset>
              </wp:positionH>
              <wp:positionV relativeFrom="page">
                <wp:posOffset>9451847</wp:posOffset>
              </wp:positionV>
              <wp:extent cx="598043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3"/>
                            </a:lnTo>
                            <a:lnTo>
                              <a:pt x="5980176" y="9143"/>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w14:anchorId="7EC48F63">
            <v:shape id="Graphic 1" style="position:absolute;margin-left:70.55pt;margin-top:744.25pt;width:470.9pt;height:.75pt;z-index:-251658240;visibility:visible;mso-wrap-style:square;mso-wrap-distance-left:0;mso-wrap-distance-top:0;mso-wrap-distance-right:0;mso-wrap-distance-bottom:0;mso-position-horizontal:absolute;mso-position-horizontal-relative:page;mso-position-vertical:absolute;mso-position-vertical-relative:page;v-text-anchor:top" coordsize="5980430,9525" o:spid="_x0000_s1026" fillcolor="black" stroked="f" path="m5980176,l,,,9143r5980176,l59801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aXMIwIAAL0EAAAOAAAAZHJzL2Uyb0RvYy54bWysVMFu2zAMvQ/YPwi6L07SpmuMOMXQosOA&#10;oivQDDsrshwbk0VNVGLn70fJVmpspw3LwabMZ/q9RzKbu77V7KQcNmAKvpjNOVNGQtmYQ8G/7R4/&#10;3HKGXphSaDCq4GeF/G77/t2ms7laQg26VI5REYN5Zwtee2/zLENZq1bgDKwylKzAtcLT0R2y0omO&#10;qrc6W87nN1kHrrQOpEKkpw9Dkm9j/apS0n+tKlSe6YITNx+vLl734ZptNyI/OGHrRo40xD+waEVj&#10;6KOXUg/CC3Z0zR+l2kY6QKj8TEKbQVU1UkUNpGYx/03Nay2silrIHLQXm/D/lZXPp1f74gJ1tE8g&#10;fyA5knUW80smHHDE9JVrA5aIsz66eL64qHrPJD1crW/n11dktqTcerVcBZMzkad35RH9ZwWxjjg9&#10;oR96UKZI1CmSvUmho06GHurYQ88Z9dBxRj3cDz20wof3ArkQsm5CpB55hGQLJ7WDCPNBQmC7+HjD&#10;WRJCTN8w2kyxpGmCSrl0t7HegFkvrq9G2Smd7gNs+tm/AseRJY6pnNSAajA46I5OX7wg3NRtBN2U&#10;j43WQT66w/5eO3YSYTXib2Q8gcVJGJofxmAP5fnFsY72peD48yic4kx/MTSQYblS4FKwT4Hz+h7i&#10;CkbnHfpd/104yyyFBfc0O8+Qxl3kaSyIfwAM2PCmgU9HD1UTZiZyGxiNB9qRqH/c57CE03NEvf3r&#10;bH8BAAD//wMAUEsDBBQABgAIAAAAIQAbbaTT4QAAAA4BAAAPAAAAZHJzL2Rvd25yZXYueG1sTI/N&#10;TsMwEITvSLyDtUjcqJ1CUZLGqRACIaH2QEE9b5PND43XUey04e1xTnDb2R3NfpNtJtOJMw2utawh&#10;WigQxIUtW641fH2+3sUgnEcusbNMGn7IwSa/vsowLe2FP+i897UIIexS1NB436dSuqIhg25he+Jw&#10;q+xg0Ac51LIc8BLCTSeXSj1Kgy2HDw329NxQcdqPRoN7N301vVW8xZfV95jc+9P2sNP69mZ6WoPw&#10;NPk/M8z4AR3ywHS0I5dOdEE/RFGwzkMcr0DMFhUvExDHeZcoBTLP5P8a+S8AAAD//wMAUEsBAi0A&#10;FAAGAAgAAAAhALaDOJL+AAAA4QEAABMAAAAAAAAAAAAAAAAAAAAAAFtDb250ZW50X1R5cGVzXS54&#10;bWxQSwECLQAUAAYACAAAACEAOP0h/9YAAACUAQAACwAAAAAAAAAAAAAAAAAvAQAAX3JlbHMvLnJl&#10;bHNQSwECLQAUAAYACAAAACEAjoWlzCMCAAC9BAAADgAAAAAAAAAAAAAAAAAuAgAAZHJzL2Uyb0Rv&#10;Yy54bWxQSwECLQAUAAYACAAAACEAG22k0+EAAAAOAQAADwAAAAAAAAAAAAAAAAB9BAAAZHJzL2Rv&#10;d25yZXYueG1sUEsFBgAAAAAEAAQA8wAAAIsFAAAAAA==&#10;" w14:anchorId="210740BB">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1DCDE" w14:textId="07B10485" w:rsidR="6E285AE6" w:rsidRDefault="6E285AE6" w:rsidP="6E285AE6">
    <w:pPr>
      <w:pStyle w:val="Footer"/>
      <w:jc w:val="right"/>
    </w:pPr>
    <w:r>
      <w:fldChar w:fldCharType="begin"/>
    </w:r>
    <w:r>
      <w:instrText>PAGE</w:instrText>
    </w:r>
    <w:r>
      <w:fldChar w:fldCharType="separate"/>
    </w:r>
    <w:r w:rsidR="00EB422F">
      <w:rPr>
        <w:noProof/>
      </w:rPr>
      <w:t>2</w:t>
    </w:r>
    <w:r>
      <w:fldChar w:fldCharType="end"/>
    </w:r>
    <w:r>
      <w:t xml:space="preserve"> of </w:t>
    </w:r>
    <w:r>
      <w:fldChar w:fldCharType="begin"/>
    </w:r>
    <w:r>
      <w:instrText>NUMPAGES</w:instrText>
    </w:r>
    <w:r>
      <w:fldChar w:fldCharType="separate"/>
    </w:r>
    <w:r w:rsidR="00EB422F">
      <w:rPr>
        <w:noProof/>
      </w:rPr>
      <w:t>3</w:t>
    </w:r>
    <w:r>
      <w:fldChar w:fldCharType="end"/>
    </w:r>
  </w:p>
  <w:p w14:paraId="4EC18BB0" w14:textId="77777777" w:rsidR="00352E1D" w:rsidRDefault="006D10F0" w:rsidP="00041492">
    <w:pPr>
      <w:pStyle w:val="BodyText"/>
    </w:pPr>
    <w:r>
      <w:rPr>
        <w:noProof/>
      </w:rPr>
      <mc:AlternateContent>
        <mc:Choice Requires="wps">
          <w:drawing>
            <wp:anchor distT="0" distB="0" distL="0" distR="0" simplePos="0" relativeHeight="251658244" behindDoc="1" locked="0" layoutInCell="1" allowOverlap="1" wp14:anchorId="4EC18BB9" wp14:editId="4EC18BBA">
              <wp:simplePos x="0" y="0"/>
              <wp:positionH relativeFrom="page">
                <wp:posOffset>896111</wp:posOffset>
              </wp:positionH>
              <wp:positionV relativeFrom="page">
                <wp:posOffset>9451847</wp:posOffset>
              </wp:positionV>
              <wp:extent cx="598043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3"/>
                            </a:lnTo>
                            <a:lnTo>
                              <a:pt x="5980176" y="9143"/>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w14:anchorId="4654EC87">
            <v:shape id="Graphic 5" style="position:absolute;margin-left:70.55pt;margin-top:744.25pt;width:470.9pt;height:.75pt;z-index:-251658236;visibility:visible;mso-wrap-style:square;mso-wrap-distance-left:0;mso-wrap-distance-top:0;mso-wrap-distance-right:0;mso-wrap-distance-bottom:0;mso-position-horizontal:absolute;mso-position-horizontal-relative:page;mso-position-vertical:absolute;mso-position-vertical-relative:page;v-text-anchor:top" coordsize="5980430,9525" o:spid="_x0000_s1026" fillcolor="black" stroked="f" path="m5980176,l,,,9143r5980176,l59801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aXMIwIAAL0EAAAOAAAAZHJzL2Uyb0RvYy54bWysVMFu2zAMvQ/YPwi6L07SpmuMOMXQosOA&#10;oivQDDsrshwbk0VNVGLn70fJVmpspw3LwabMZ/q9RzKbu77V7KQcNmAKvpjNOVNGQtmYQ8G/7R4/&#10;3HKGXphSaDCq4GeF/G77/t2ms7laQg26VI5REYN5Zwtee2/zLENZq1bgDKwylKzAtcLT0R2y0omO&#10;qrc6W87nN1kHrrQOpEKkpw9Dkm9j/apS0n+tKlSe6YITNx+vLl734ZptNyI/OGHrRo40xD+waEVj&#10;6KOXUg/CC3Z0zR+l2kY6QKj8TEKbQVU1UkUNpGYx/03Nay2silrIHLQXm/D/lZXPp1f74gJ1tE8g&#10;fyA5knUW80smHHDE9JVrA5aIsz66eL64qHrPJD1crW/n11dktqTcerVcBZMzkad35RH9ZwWxjjg9&#10;oR96UKZI1CmSvUmho06GHurYQ88Z9dBxRj3cDz20wof3ArkQsm5CpB55hGQLJ7WDCPNBQmC7+HjD&#10;WRJCTN8w2kyxpGmCSrl0t7HegFkvrq9G2Smd7gNs+tm/AseRJY6pnNSAajA46I5OX7wg3NRtBN2U&#10;j43WQT66w/5eO3YSYTXib2Q8gcVJGJofxmAP5fnFsY72peD48yic4kx/MTSQYblS4FKwT4Hz+h7i&#10;CkbnHfpd/104yyyFBfc0O8+Qxl3kaSyIfwAM2PCmgU9HD1UTZiZyGxiNB9qRqH/c57CE03NEvf3r&#10;bH8BAAD//wMAUEsDBBQABgAIAAAAIQAbbaTT4QAAAA4BAAAPAAAAZHJzL2Rvd25yZXYueG1sTI/N&#10;TsMwEITvSLyDtUjcqJ1CUZLGqRACIaH2QEE9b5PND43XUey04e1xTnDb2R3NfpNtJtOJMw2utawh&#10;WigQxIUtW641fH2+3sUgnEcusbNMGn7IwSa/vsowLe2FP+i897UIIexS1NB436dSuqIhg25he+Jw&#10;q+xg0Ac51LIc8BLCTSeXSj1Kgy2HDw329NxQcdqPRoN7N301vVW8xZfV95jc+9P2sNP69mZ6WoPw&#10;NPk/M8z4AR3ywHS0I5dOdEE/RFGwzkMcr0DMFhUvExDHeZcoBTLP5P8a+S8AAAD//wMAUEsBAi0A&#10;FAAGAAgAAAAhALaDOJL+AAAA4QEAABMAAAAAAAAAAAAAAAAAAAAAAFtDb250ZW50X1R5cGVzXS54&#10;bWxQSwECLQAUAAYACAAAACEAOP0h/9YAAACUAQAACwAAAAAAAAAAAAAAAAAvAQAAX3JlbHMvLnJl&#10;bHNQSwECLQAUAAYACAAAACEAjoWlzCMCAAC9BAAADgAAAAAAAAAAAAAAAAAuAgAAZHJzL2Uyb0Rv&#10;Yy54bWxQSwECLQAUAAYACAAAACEAG22k0+EAAAAOAQAADwAAAAAAAAAAAAAAAAB9BAAAZHJzL2Rv&#10;d25yZXYueG1sUEsFBgAAAAAEAAQA8wAAAIsFAAAAAA==&#10;" w14:anchorId="20C00193">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8DD44" w14:textId="77777777" w:rsidR="00311190" w:rsidRDefault="00311190">
      <w:r>
        <w:separator/>
      </w:r>
    </w:p>
  </w:footnote>
  <w:footnote w:type="continuationSeparator" w:id="0">
    <w:p w14:paraId="5D8E69CE" w14:textId="77777777" w:rsidR="00311190" w:rsidRDefault="0031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6E285AE6" w14:paraId="3758AAF9" w14:textId="77777777" w:rsidTr="6E285AE6">
      <w:trPr>
        <w:trHeight w:val="300"/>
      </w:trPr>
      <w:tc>
        <w:tcPr>
          <w:tcW w:w="3360" w:type="dxa"/>
        </w:tcPr>
        <w:p w14:paraId="651095D9" w14:textId="6429126C" w:rsidR="6E285AE6" w:rsidRDefault="6E285AE6" w:rsidP="6E285AE6">
          <w:pPr>
            <w:pStyle w:val="Header"/>
            <w:ind w:left="-115"/>
          </w:pPr>
        </w:p>
      </w:tc>
      <w:tc>
        <w:tcPr>
          <w:tcW w:w="3360" w:type="dxa"/>
        </w:tcPr>
        <w:p w14:paraId="1018DB6A" w14:textId="79758453" w:rsidR="6E285AE6" w:rsidRDefault="6E285AE6" w:rsidP="6E285AE6">
          <w:pPr>
            <w:pStyle w:val="Header"/>
            <w:jc w:val="center"/>
          </w:pPr>
        </w:p>
      </w:tc>
      <w:tc>
        <w:tcPr>
          <w:tcW w:w="3360" w:type="dxa"/>
        </w:tcPr>
        <w:p w14:paraId="1AD6C3AB" w14:textId="2FF1BA07" w:rsidR="6E285AE6" w:rsidRDefault="6E285AE6" w:rsidP="6E285AE6">
          <w:pPr>
            <w:pStyle w:val="Header"/>
            <w:ind w:right="-115"/>
            <w:jc w:val="right"/>
          </w:pPr>
        </w:p>
      </w:tc>
    </w:tr>
  </w:tbl>
  <w:p w14:paraId="24D765D7" w14:textId="0B7C8FA0" w:rsidR="6E285AE6" w:rsidRDefault="6E285AE6" w:rsidP="6E285A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8BAF" w14:textId="77777777" w:rsidR="00352E1D" w:rsidRDefault="006D10F0" w:rsidP="00041492">
    <w:pPr>
      <w:pStyle w:val="BodyText"/>
    </w:pPr>
    <w:r>
      <w:rPr>
        <w:noProof/>
      </w:rPr>
      <mc:AlternateContent>
        <mc:Choice Requires="wps">
          <w:drawing>
            <wp:anchor distT="0" distB="0" distL="0" distR="0" simplePos="0" relativeHeight="251658242" behindDoc="1" locked="0" layoutInCell="1" allowOverlap="1" wp14:anchorId="4EC18BB5" wp14:editId="4EC18BB6">
              <wp:simplePos x="0" y="0"/>
              <wp:positionH relativeFrom="page">
                <wp:posOffset>896111</wp:posOffset>
              </wp:positionH>
              <wp:positionV relativeFrom="page">
                <wp:posOffset>886967</wp:posOffset>
              </wp:positionV>
              <wp:extent cx="5980430"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w14:anchorId="6399D82D">
            <v:shape id="Graphic 3" style="position:absolute;margin-left:70.55pt;margin-top:69.85pt;width:470.9pt;height:.75pt;z-index:-251658238;visibility:visible;mso-wrap-style:square;mso-wrap-distance-left:0;mso-wrap-distance-top:0;mso-wrap-distance-right:0;mso-wrap-distance-bottom:0;mso-position-horizontal:absolute;mso-position-horizontal-relative:page;mso-position-vertical:absolute;mso-position-vertical-relative:page;v-text-anchor:top" coordsize="5980430,9525" o:spid="_x0000_s1026" fillcolor="black" stroked="f" path="m5980176,l,,,9144r5980176,l59801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7lIwIAAL0EAAAOAAAAZHJzL2Uyb0RvYy54bWysVMFu2zAMvQ/YPwi6L06ypGuMOMXQosOA&#10;oivQDDsrshwbk0WNUmL370fJVmp0pw3LwabMZ/q9RzLbm77V7KzQNWAKvpjNOVNGQtmYY8G/7+8/&#10;XHPmvDCl0GBUwV+U4ze79++2nc3VEmrQpUJGRYzLO1vw2nubZ5mTtWqFm4FVhpIVYCs8HfGYlSg6&#10;qt7qbDmfX2UdYGkRpHKOnt4NSb6L9atKSf+tqpzyTBecuPl4xXg9hGu224r8iMLWjRxpiH9g0YrG&#10;0Ecvpe6EF+yEzR+l2kYiOKj8TEKbQVU1UkUNpGYxf6PmuRZWRS1kjrMXm9z/Kysfz8/2CQN1Zx9A&#10;/nTkSNZZl18y4eBGTF9hG7BEnPXRxZeLi6r3TNLD9eZ6vvpIZkvKbdbLdTA5E3l6V56c/6Ig1hHn&#10;B+eHHpQpEnWKZG9SiNTJ0EMde+g5ox4iZ9TDw9BDK3x4L5ALIesmROqRR0i2cFZ7iDAfJAS2i09X&#10;nCUhxPQVo80US5omqJRLdxvrDZjNYrUaZad0ug+w6Wf/ChxHljimclKDU4PBQXd0+uIF4aZuO9BN&#10;ed9oHeQ7PB5uNbKzCKsRfyPjCSxOwtD8MAYHKF+ekHW0LwV3v04CFWf6q6GBDMuVAkzBIQXo9S3E&#10;FYzOo/P7/odAyyyFBfc0O4+Qxl3kaSyIfwAM2PCmgc8nD1UTZiZyGxiNB9qRqH/c57CE03NEvf7r&#10;7H4DAAD//wMAUEsDBBQABgAIAAAAIQBHlP9A4AAAAAwBAAAPAAAAZHJzL2Rvd25yZXYueG1sTI9L&#10;T8MwEITvSPwHa5G4UScpjybEqRACIaH2QFtxduPNg8brKHba8O/ZcoHbjubT7Ey+nGwnjjj41pGC&#10;eBaBQCqdaalWsNu+3ixA+KDJ6M4RKvhGD8vi8iLXmXEn+sDjJtSCQ8hnWkETQp9J6csGrfYz1yOx&#10;V7nB6sByqKUZ9InDbSeTKLqXVrfEHxrd43OD5WEzWgX+3fbV9FbRSr/cfY3pPBxWn2ulrq+mp0cQ&#10;AafwB8O5PleHgjvt3UjGi471bRwzysc8fQBxJqJFkoLY/3oJyCKX/0cUPwAAAP//AwBQSwECLQAU&#10;AAYACAAAACEAtoM4kv4AAADhAQAAEwAAAAAAAAAAAAAAAAAAAAAAW0NvbnRlbnRfVHlwZXNdLnht&#10;bFBLAQItABQABgAIAAAAIQA4/SH/1gAAAJQBAAALAAAAAAAAAAAAAAAAAC8BAABfcmVscy8ucmVs&#10;c1BLAQItABQABgAIAAAAIQBW8R7lIwIAAL0EAAAOAAAAAAAAAAAAAAAAAC4CAABkcnMvZTJvRG9j&#10;LnhtbFBLAQItABQABgAIAAAAIQBHlP9A4AAAAAwBAAAPAAAAAAAAAAAAAAAAAH0EAABkcnMvZG93&#10;bnJldi54bWxQSwUGAAAAAAQABADzAAAAigUAAAAA&#10;" w14:anchorId="7DC6F8E8">
              <v:path arrowok="t"/>
              <w10:wrap anchorx="page" anchory="page"/>
            </v:shape>
          </w:pict>
        </mc:Fallback>
      </mc:AlternateContent>
    </w:r>
    <w:r>
      <w:rPr>
        <w:noProof/>
      </w:rPr>
      <mc:AlternateContent>
        <mc:Choice Requires="wps">
          <w:drawing>
            <wp:anchor distT="0" distB="0" distL="0" distR="0" simplePos="0" relativeHeight="251658243" behindDoc="1" locked="0" layoutInCell="1" allowOverlap="1" wp14:anchorId="4EC18BB7" wp14:editId="4EC18BB8">
              <wp:simplePos x="0" y="0"/>
              <wp:positionH relativeFrom="page">
                <wp:posOffset>901700</wp:posOffset>
              </wp:positionH>
              <wp:positionV relativeFrom="page">
                <wp:posOffset>468502</wp:posOffset>
              </wp:positionV>
              <wp:extent cx="3043555" cy="4171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3555" cy="417195"/>
                      </a:xfrm>
                      <a:prstGeom prst="rect">
                        <a:avLst/>
                      </a:prstGeom>
                    </wps:spPr>
                    <wps:txbx>
                      <w:txbxContent>
                        <w:p w14:paraId="4EC18BBE" w14:textId="77777777" w:rsidR="00352E1D" w:rsidRDefault="006D10F0">
                          <w:pPr>
                            <w:spacing w:line="203" w:lineRule="exact"/>
                            <w:ind w:left="20"/>
                            <w:rPr>
                              <w:sz w:val="18"/>
                            </w:rPr>
                          </w:pPr>
                          <w:r>
                            <w:rPr>
                              <w:sz w:val="18"/>
                            </w:rPr>
                            <w:t>WSDOT</w:t>
                          </w:r>
                          <w:r>
                            <w:rPr>
                              <w:spacing w:val="-5"/>
                              <w:sz w:val="18"/>
                            </w:rPr>
                            <w:t xml:space="preserve"> </w:t>
                          </w:r>
                          <w:r>
                            <w:rPr>
                              <w:sz w:val="18"/>
                            </w:rPr>
                            <w:t>POSITION</w:t>
                          </w:r>
                          <w:r>
                            <w:rPr>
                              <w:spacing w:val="-5"/>
                              <w:sz w:val="18"/>
                            </w:rPr>
                            <w:t xml:space="preserve"> </w:t>
                          </w:r>
                          <w:r>
                            <w:rPr>
                              <w:spacing w:val="-4"/>
                              <w:sz w:val="18"/>
                            </w:rPr>
                            <w:t>PAPER</w:t>
                          </w:r>
                        </w:p>
                        <w:p w14:paraId="7954A420" w14:textId="77777777" w:rsidR="007B4D0A" w:rsidRPr="007B4D0A" w:rsidRDefault="007B4D0A" w:rsidP="007B4D0A">
                          <w:pPr>
                            <w:spacing w:line="218" w:lineRule="exact"/>
                            <w:ind w:left="20"/>
                            <w:rPr>
                              <w:sz w:val="18"/>
                              <w:szCs w:val="18"/>
                            </w:rPr>
                          </w:pPr>
                          <w:r w:rsidRPr="007B4D0A">
                            <w:rPr>
                              <w:sz w:val="18"/>
                              <w:szCs w:val="18"/>
                            </w:rPr>
                            <w:t>DRB Hearing 01: PCO 100 Existing Vault NW 12</w:t>
                          </w:r>
                        </w:p>
                        <w:p w14:paraId="4EC18BC0" w14:textId="3F2952DD" w:rsidR="00352E1D" w:rsidRDefault="007B4D0A" w:rsidP="007B4D0A">
                          <w:pPr>
                            <w:spacing w:line="218" w:lineRule="exact"/>
                            <w:ind w:left="20"/>
                            <w:rPr>
                              <w:sz w:val="18"/>
                            </w:rPr>
                          </w:pPr>
                          <w:r w:rsidRPr="007B4D0A">
                            <w:rPr>
                              <w:sz w:val="18"/>
                              <w:szCs w:val="18"/>
                            </w:rPr>
                            <w:t>I-405, Brickyard to SR 527 Improvement Project</w:t>
                          </w:r>
                        </w:p>
                      </w:txbxContent>
                    </wps:txbx>
                    <wps:bodyPr wrap="square" lIns="0" tIns="0" rIns="0" bIns="0" rtlCol="0">
                      <a:noAutofit/>
                    </wps:bodyPr>
                  </wps:wsp>
                </a:graphicData>
              </a:graphic>
            </wp:anchor>
          </w:drawing>
        </mc:Choice>
        <mc:Fallback xmlns:a="http://schemas.openxmlformats.org/drawingml/2006/main">
          <w:pict w14:anchorId="73628DD8">
            <v:shapetype id="_x0000_t202" coordsize="21600,21600" o:spt="202" path="m,l,21600r21600,l21600,xe" w14:anchorId="4EC18BB7">
              <v:stroke joinstyle="miter"/>
              <v:path gradientshapeok="t" o:connecttype="rect"/>
            </v:shapetype>
            <v:shape id="Textbox 4" style="position:absolute;left:0;text-align:left;margin-left:71pt;margin-top:36.9pt;width:239.65pt;height:32.85pt;z-index:-251658237;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2KlQEAABsDAAAOAAAAZHJzL2Uyb0RvYy54bWysUtuO0zAQfUfiHyy/U6e7Wy5R0xWwAiGt&#10;AGnhA1zHbiJij5lxm/TvGbtpi+AN8TIe2+Mz55zx+n7ygzhYpB5CI5eLSgobDLR92DXy+7cPL15L&#10;QUmHVg8QbCOPluT95vmz9RhrewMdDK1FwSCB6jE2sksp1kqR6azXtIBoA186QK8Tb3GnWtQjo/tB&#10;3VTVSzUCthHBWCI+fThdyk3Bd86a9MU5skkMjWRuqUQscZuj2qx1vUMdu97MNPQ/sPC6D9z0AvWg&#10;kxZ77P+C8r1BIHBpYcArcK43tmhgNcvqDzVPnY62aGFzKF5sov8Haz4fnuJXFGl6BxMPsIig+Ajm&#10;B7E3aoxUzzXZU6qJq7PQyaHPK0sQ/JC9PV78tFMShg9vq7vb1WolheG7u+Wr5ZtVNlxdX0ek9NGC&#10;FzlpJPK8CgN9eKR0Kj2XzGRO/TOTNG0nLsnpFtojixh5jo2kn3uNVorhU2Cj8tDPCZ6T7TnBNLyH&#10;8jWylgBv9wlcXzpfcefOPIHCff4tecS/70vV9U9vfgEAAP//AwBQSwMEFAAGAAgAAAAhAOa4phPf&#10;AAAACgEAAA8AAABkcnMvZG93bnJldi54bWxMj0FPg0AUhO8m/ofNM/Fml4KiRZamMXpqYqR48Liw&#10;r0DKvkV22+K/7/Okx8lMZr7J17MdxAkn3ztSsFxEIJAaZ3pqFXxWb3dPIHzQZPTgCBX8oId1cX2V&#10;68y4M5V42oVWcAn5TCvoQhgzKX3TodV+4UYk9vZusjqwnFppJn3mcjvIOIpSaXVPvNDpEV86bA67&#10;o1Ww+aLytf9+rz/KfdlX1SqibXpQ6vZm3jyDCDiHvzD84jM6FMxUuyMZLwbW9zF/CQoeE77AgTRe&#10;JiBqdpLVA8gil/8vFBcAAAD//wMAUEsBAi0AFAAGAAgAAAAhALaDOJL+AAAA4QEAABMAAAAAAAAA&#10;AAAAAAAAAAAAAFtDb250ZW50X1R5cGVzXS54bWxQSwECLQAUAAYACAAAACEAOP0h/9YAAACUAQAA&#10;CwAAAAAAAAAAAAAAAAAvAQAAX3JlbHMvLnJlbHNQSwECLQAUAAYACAAAACEAqEX9ipUBAAAbAwAA&#10;DgAAAAAAAAAAAAAAAAAuAgAAZHJzL2Uyb0RvYy54bWxQSwECLQAUAAYACAAAACEA5rimE98AAAAK&#10;AQAADwAAAAAAAAAAAAAAAADvAwAAZHJzL2Rvd25yZXYueG1sUEsFBgAAAAAEAAQA8wAAAPsEAAAA&#10;AA==&#10;">
              <v:textbox inset="0,0,0,0">
                <w:txbxContent>
                  <w:p w:rsidR="00352E1D" w:rsidRDefault="006D10F0" w14:paraId="2875E7BA" w14:textId="77777777">
                    <w:pPr>
                      <w:spacing w:line="203" w:lineRule="exact"/>
                      <w:ind w:left="20"/>
                      <w:rPr>
                        <w:sz w:val="18"/>
                      </w:rPr>
                    </w:pPr>
                    <w:r>
                      <w:rPr>
                        <w:sz w:val="18"/>
                      </w:rPr>
                      <w:t>WSDOT</w:t>
                    </w:r>
                    <w:r>
                      <w:rPr>
                        <w:spacing w:val="-5"/>
                        <w:sz w:val="18"/>
                      </w:rPr>
                      <w:t xml:space="preserve"> </w:t>
                    </w:r>
                    <w:r>
                      <w:rPr>
                        <w:sz w:val="18"/>
                      </w:rPr>
                      <w:t>POSITION</w:t>
                    </w:r>
                    <w:r>
                      <w:rPr>
                        <w:spacing w:val="-5"/>
                        <w:sz w:val="18"/>
                      </w:rPr>
                      <w:t xml:space="preserve"> </w:t>
                    </w:r>
                    <w:r>
                      <w:rPr>
                        <w:spacing w:val="-4"/>
                        <w:sz w:val="18"/>
                      </w:rPr>
                      <w:t>PAPER</w:t>
                    </w:r>
                  </w:p>
                  <w:p w:rsidRPr="007B4D0A" w:rsidR="007B4D0A" w:rsidP="007B4D0A" w:rsidRDefault="007B4D0A" w14:paraId="4A2ABCC0" w14:textId="77777777">
                    <w:pPr>
                      <w:spacing w:line="218" w:lineRule="exact"/>
                      <w:ind w:left="20"/>
                      <w:rPr>
                        <w:sz w:val="18"/>
                        <w:szCs w:val="18"/>
                      </w:rPr>
                    </w:pPr>
                    <w:r w:rsidRPr="007B4D0A">
                      <w:rPr>
                        <w:sz w:val="18"/>
                        <w:szCs w:val="18"/>
                      </w:rPr>
                      <w:t>DRB Hearing 01: PCO 100 Existing Vault NW 12</w:t>
                    </w:r>
                  </w:p>
                  <w:p w:rsidR="00352E1D" w:rsidP="007B4D0A" w:rsidRDefault="007B4D0A" w14:paraId="53EE7C99" w14:textId="3F2952DD">
                    <w:pPr>
                      <w:spacing w:line="218" w:lineRule="exact"/>
                      <w:ind w:left="20"/>
                      <w:rPr>
                        <w:sz w:val="18"/>
                      </w:rPr>
                    </w:pPr>
                    <w:r w:rsidRPr="007B4D0A">
                      <w:rPr>
                        <w:sz w:val="18"/>
                        <w:szCs w:val="18"/>
                      </w:rPr>
                      <w:t>I-405, Brickyard to SR 527 Improvement Project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6A10"/>
    <w:multiLevelType w:val="hybridMultilevel"/>
    <w:tmpl w:val="7D14E4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E84549"/>
    <w:multiLevelType w:val="hybridMultilevel"/>
    <w:tmpl w:val="A3801862"/>
    <w:lvl w:ilvl="0" w:tplc="AF640800">
      <w:start w:val="1"/>
      <w:numFmt w:val="decimal"/>
      <w:lvlText w:val="%1."/>
      <w:lvlJc w:val="left"/>
      <w:pPr>
        <w:ind w:left="720" w:hanging="361"/>
      </w:pPr>
      <w:rPr>
        <w:rFonts w:ascii="Calibri" w:eastAsia="Calibri" w:hAnsi="Calibri" w:cs="Calibri" w:hint="default"/>
        <w:b w:val="0"/>
        <w:bCs w:val="0"/>
        <w:i w:val="0"/>
        <w:iCs w:val="0"/>
        <w:spacing w:val="0"/>
        <w:w w:val="100"/>
        <w:sz w:val="22"/>
        <w:szCs w:val="22"/>
        <w:lang w:val="en-US" w:eastAsia="en-US" w:bidi="ar-SA"/>
      </w:rPr>
    </w:lvl>
    <w:lvl w:ilvl="1" w:tplc="37F2B454">
      <w:numFmt w:val="bullet"/>
      <w:lvlText w:val="•"/>
      <w:lvlJc w:val="left"/>
      <w:pPr>
        <w:ind w:left="1621" w:hanging="361"/>
      </w:pPr>
      <w:rPr>
        <w:rFonts w:hint="default"/>
        <w:lang w:val="en-US" w:eastAsia="en-US" w:bidi="ar-SA"/>
      </w:rPr>
    </w:lvl>
    <w:lvl w:ilvl="2" w:tplc="8E4A1F8E">
      <w:numFmt w:val="bullet"/>
      <w:lvlText w:val="•"/>
      <w:lvlJc w:val="left"/>
      <w:pPr>
        <w:ind w:left="2521" w:hanging="361"/>
      </w:pPr>
      <w:rPr>
        <w:rFonts w:hint="default"/>
        <w:lang w:val="en-US" w:eastAsia="en-US" w:bidi="ar-SA"/>
      </w:rPr>
    </w:lvl>
    <w:lvl w:ilvl="3" w:tplc="08E82354">
      <w:numFmt w:val="bullet"/>
      <w:lvlText w:val="•"/>
      <w:lvlJc w:val="left"/>
      <w:pPr>
        <w:ind w:left="3421" w:hanging="361"/>
      </w:pPr>
      <w:rPr>
        <w:rFonts w:hint="default"/>
        <w:lang w:val="en-US" w:eastAsia="en-US" w:bidi="ar-SA"/>
      </w:rPr>
    </w:lvl>
    <w:lvl w:ilvl="4" w:tplc="9120170C">
      <w:numFmt w:val="bullet"/>
      <w:lvlText w:val="•"/>
      <w:lvlJc w:val="left"/>
      <w:pPr>
        <w:ind w:left="4321" w:hanging="361"/>
      </w:pPr>
      <w:rPr>
        <w:rFonts w:hint="default"/>
        <w:lang w:val="en-US" w:eastAsia="en-US" w:bidi="ar-SA"/>
      </w:rPr>
    </w:lvl>
    <w:lvl w:ilvl="5" w:tplc="A22269DA">
      <w:numFmt w:val="bullet"/>
      <w:lvlText w:val="•"/>
      <w:lvlJc w:val="left"/>
      <w:pPr>
        <w:ind w:left="5221" w:hanging="361"/>
      </w:pPr>
      <w:rPr>
        <w:rFonts w:hint="default"/>
        <w:lang w:val="en-US" w:eastAsia="en-US" w:bidi="ar-SA"/>
      </w:rPr>
    </w:lvl>
    <w:lvl w:ilvl="6" w:tplc="678E2B4A">
      <w:numFmt w:val="bullet"/>
      <w:lvlText w:val="•"/>
      <w:lvlJc w:val="left"/>
      <w:pPr>
        <w:ind w:left="6121" w:hanging="361"/>
      </w:pPr>
      <w:rPr>
        <w:rFonts w:hint="default"/>
        <w:lang w:val="en-US" w:eastAsia="en-US" w:bidi="ar-SA"/>
      </w:rPr>
    </w:lvl>
    <w:lvl w:ilvl="7" w:tplc="1802887E">
      <w:numFmt w:val="bullet"/>
      <w:lvlText w:val="•"/>
      <w:lvlJc w:val="left"/>
      <w:pPr>
        <w:ind w:left="7021" w:hanging="361"/>
      </w:pPr>
      <w:rPr>
        <w:rFonts w:hint="default"/>
        <w:lang w:val="en-US" w:eastAsia="en-US" w:bidi="ar-SA"/>
      </w:rPr>
    </w:lvl>
    <w:lvl w:ilvl="8" w:tplc="CD221496">
      <w:numFmt w:val="bullet"/>
      <w:lvlText w:val="•"/>
      <w:lvlJc w:val="left"/>
      <w:pPr>
        <w:ind w:left="7921" w:hanging="361"/>
      </w:pPr>
      <w:rPr>
        <w:rFonts w:hint="default"/>
        <w:lang w:val="en-US" w:eastAsia="en-US" w:bidi="ar-SA"/>
      </w:rPr>
    </w:lvl>
  </w:abstractNum>
  <w:abstractNum w:abstractNumId="2" w15:restartNumberingAfterBreak="0">
    <w:nsid w:val="11822EEC"/>
    <w:multiLevelType w:val="hybridMultilevel"/>
    <w:tmpl w:val="F2DA1856"/>
    <w:lvl w:ilvl="0" w:tplc="EFEE4430">
      <w:start w:val="1"/>
      <w:numFmt w:val="bullet"/>
      <w:lvlText w:val=""/>
      <w:lvlJc w:val="left"/>
      <w:pPr>
        <w:ind w:left="720" w:hanging="360"/>
      </w:pPr>
      <w:rPr>
        <w:rFonts w:ascii="Symbol" w:hAnsi="Symbol" w:hint="default"/>
      </w:rPr>
    </w:lvl>
    <w:lvl w:ilvl="1" w:tplc="48A0AC86">
      <w:start w:val="1"/>
      <w:numFmt w:val="bullet"/>
      <w:lvlText w:val="o"/>
      <w:lvlJc w:val="left"/>
      <w:pPr>
        <w:ind w:left="1440" w:hanging="360"/>
      </w:pPr>
      <w:rPr>
        <w:rFonts w:ascii="Courier New" w:hAnsi="Courier New" w:hint="default"/>
      </w:rPr>
    </w:lvl>
    <w:lvl w:ilvl="2" w:tplc="134E1C38">
      <w:start w:val="1"/>
      <w:numFmt w:val="bullet"/>
      <w:lvlText w:val=""/>
      <w:lvlJc w:val="left"/>
      <w:pPr>
        <w:ind w:left="2160" w:hanging="360"/>
      </w:pPr>
      <w:rPr>
        <w:rFonts w:ascii="Wingdings" w:hAnsi="Wingdings" w:hint="default"/>
      </w:rPr>
    </w:lvl>
    <w:lvl w:ilvl="3" w:tplc="EA3A48C4">
      <w:start w:val="1"/>
      <w:numFmt w:val="bullet"/>
      <w:lvlText w:val=""/>
      <w:lvlJc w:val="left"/>
      <w:pPr>
        <w:ind w:left="2880" w:hanging="360"/>
      </w:pPr>
      <w:rPr>
        <w:rFonts w:ascii="Symbol" w:hAnsi="Symbol" w:hint="default"/>
      </w:rPr>
    </w:lvl>
    <w:lvl w:ilvl="4" w:tplc="02A4C8B8">
      <w:start w:val="1"/>
      <w:numFmt w:val="bullet"/>
      <w:lvlText w:val="o"/>
      <w:lvlJc w:val="left"/>
      <w:pPr>
        <w:ind w:left="3600" w:hanging="360"/>
      </w:pPr>
      <w:rPr>
        <w:rFonts w:ascii="Courier New" w:hAnsi="Courier New" w:hint="default"/>
      </w:rPr>
    </w:lvl>
    <w:lvl w:ilvl="5" w:tplc="B240CF6E">
      <w:start w:val="1"/>
      <w:numFmt w:val="bullet"/>
      <w:lvlText w:val=""/>
      <w:lvlJc w:val="left"/>
      <w:pPr>
        <w:ind w:left="4320" w:hanging="360"/>
      </w:pPr>
      <w:rPr>
        <w:rFonts w:ascii="Wingdings" w:hAnsi="Wingdings" w:hint="default"/>
      </w:rPr>
    </w:lvl>
    <w:lvl w:ilvl="6" w:tplc="24D8D348">
      <w:start w:val="1"/>
      <w:numFmt w:val="bullet"/>
      <w:lvlText w:val=""/>
      <w:lvlJc w:val="left"/>
      <w:pPr>
        <w:ind w:left="5040" w:hanging="360"/>
      </w:pPr>
      <w:rPr>
        <w:rFonts w:ascii="Symbol" w:hAnsi="Symbol" w:hint="default"/>
      </w:rPr>
    </w:lvl>
    <w:lvl w:ilvl="7" w:tplc="1A6C247E">
      <w:start w:val="1"/>
      <w:numFmt w:val="bullet"/>
      <w:lvlText w:val="o"/>
      <w:lvlJc w:val="left"/>
      <w:pPr>
        <w:ind w:left="5760" w:hanging="360"/>
      </w:pPr>
      <w:rPr>
        <w:rFonts w:ascii="Courier New" w:hAnsi="Courier New" w:hint="default"/>
      </w:rPr>
    </w:lvl>
    <w:lvl w:ilvl="8" w:tplc="5A4EB640">
      <w:start w:val="1"/>
      <w:numFmt w:val="bullet"/>
      <w:lvlText w:val=""/>
      <w:lvlJc w:val="left"/>
      <w:pPr>
        <w:ind w:left="6480" w:hanging="360"/>
      </w:pPr>
      <w:rPr>
        <w:rFonts w:ascii="Wingdings" w:hAnsi="Wingdings" w:hint="default"/>
      </w:rPr>
    </w:lvl>
  </w:abstractNum>
  <w:abstractNum w:abstractNumId="3" w15:restartNumberingAfterBreak="0">
    <w:nsid w:val="16E30EC8"/>
    <w:multiLevelType w:val="hybridMultilevel"/>
    <w:tmpl w:val="8CF28D6E"/>
    <w:lvl w:ilvl="0" w:tplc="243EC204">
      <w:start w:val="1"/>
      <w:numFmt w:val="bullet"/>
      <w:lvlText w:val=""/>
      <w:lvlJc w:val="left"/>
      <w:pPr>
        <w:ind w:left="720" w:hanging="360"/>
      </w:pPr>
      <w:rPr>
        <w:rFonts w:ascii="Symbol" w:hAnsi="Symbol" w:hint="default"/>
      </w:rPr>
    </w:lvl>
    <w:lvl w:ilvl="1" w:tplc="B57C0AE4">
      <w:start w:val="1"/>
      <w:numFmt w:val="bullet"/>
      <w:lvlText w:val="o"/>
      <w:lvlJc w:val="left"/>
      <w:pPr>
        <w:ind w:left="1440" w:hanging="360"/>
      </w:pPr>
      <w:rPr>
        <w:rFonts w:ascii="Courier New" w:hAnsi="Courier New" w:hint="default"/>
      </w:rPr>
    </w:lvl>
    <w:lvl w:ilvl="2" w:tplc="16FC24E2">
      <w:start w:val="1"/>
      <w:numFmt w:val="bullet"/>
      <w:lvlText w:val=""/>
      <w:lvlJc w:val="left"/>
      <w:pPr>
        <w:ind w:left="2160" w:hanging="360"/>
      </w:pPr>
      <w:rPr>
        <w:rFonts w:ascii="Wingdings" w:hAnsi="Wingdings" w:hint="default"/>
      </w:rPr>
    </w:lvl>
    <w:lvl w:ilvl="3" w:tplc="68AAA9B6">
      <w:start w:val="1"/>
      <w:numFmt w:val="bullet"/>
      <w:lvlText w:val=""/>
      <w:lvlJc w:val="left"/>
      <w:pPr>
        <w:ind w:left="2880" w:hanging="360"/>
      </w:pPr>
      <w:rPr>
        <w:rFonts w:ascii="Symbol" w:hAnsi="Symbol" w:hint="default"/>
      </w:rPr>
    </w:lvl>
    <w:lvl w:ilvl="4" w:tplc="287EADF0">
      <w:start w:val="1"/>
      <w:numFmt w:val="bullet"/>
      <w:lvlText w:val="o"/>
      <w:lvlJc w:val="left"/>
      <w:pPr>
        <w:ind w:left="3600" w:hanging="360"/>
      </w:pPr>
      <w:rPr>
        <w:rFonts w:ascii="Courier New" w:hAnsi="Courier New" w:hint="default"/>
      </w:rPr>
    </w:lvl>
    <w:lvl w:ilvl="5" w:tplc="72EE8DDC">
      <w:start w:val="1"/>
      <w:numFmt w:val="bullet"/>
      <w:lvlText w:val=""/>
      <w:lvlJc w:val="left"/>
      <w:pPr>
        <w:ind w:left="4320" w:hanging="360"/>
      </w:pPr>
      <w:rPr>
        <w:rFonts w:ascii="Wingdings" w:hAnsi="Wingdings" w:hint="default"/>
      </w:rPr>
    </w:lvl>
    <w:lvl w:ilvl="6" w:tplc="DCA08ECE">
      <w:start w:val="1"/>
      <w:numFmt w:val="bullet"/>
      <w:lvlText w:val=""/>
      <w:lvlJc w:val="left"/>
      <w:pPr>
        <w:ind w:left="5040" w:hanging="360"/>
      </w:pPr>
      <w:rPr>
        <w:rFonts w:ascii="Symbol" w:hAnsi="Symbol" w:hint="default"/>
      </w:rPr>
    </w:lvl>
    <w:lvl w:ilvl="7" w:tplc="1E3AF912">
      <w:start w:val="1"/>
      <w:numFmt w:val="bullet"/>
      <w:lvlText w:val="o"/>
      <w:lvlJc w:val="left"/>
      <w:pPr>
        <w:ind w:left="5760" w:hanging="360"/>
      </w:pPr>
      <w:rPr>
        <w:rFonts w:ascii="Courier New" w:hAnsi="Courier New" w:hint="default"/>
      </w:rPr>
    </w:lvl>
    <w:lvl w:ilvl="8" w:tplc="D9541B6C">
      <w:start w:val="1"/>
      <w:numFmt w:val="bullet"/>
      <w:lvlText w:val=""/>
      <w:lvlJc w:val="left"/>
      <w:pPr>
        <w:ind w:left="6480" w:hanging="360"/>
      </w:pPr>
      <w:rPr>
        <w:rFonts w:ascii="Wingdings" w:hAnsi="Wingdings" w:hint="default"/>
      </w:rPr>
    </w:lvl>
  </w:abstractNum>
  <w:abstractNum w:abstractNumId="4" w15:restartNumberingAfterBreak="0">
    <w:nsid w:val="1C4255DB"/>
    <w:multiLevelType w:val="hybridMultilevel"/>
    <w:tmpl w:val="03F4F3E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D07420A"/>
    <w:multiLevelType w:val="hybridMultilevel"/>
    <w:tmpl w:val="65D4D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CA672A"/>
    <w:multiLevelType w:val="hybridMultilevel"/>
    <w:tmpl w:val="E7AC39A4"/>
    <w:lvl w:ilvl="0" w:tplc="C71E84AC">
      <w:start w:val="1"/>
      <w:numFmt w:val="decimal"/>
      <w:lvlText w:val="%1."/>
      <w:lvlJc w:val="left"/>
      <w:pPr>
        <w:ind w:left="1080" w:hanging="361"/>
      </w:pPr>
      <w:rPr>
        <w:rFonts w:ascii="Calibri" w:eastAsia="Calibri" w:hAnsi="Calibri" w:cs="Calibri" w:hint="default"/>
        <w:b w:val="0"/>
        <w:bCs w:val="0"/>
        <w:i w:val="0"/>
        <w:iCs w:val="0"/>
        <w:spacing w:val="0"/>
        <w:w w:val="100"/>
        <w:sz w:val="22"/>
        <w:szCs w:val="22"/>
        <w:lang w:val="en-US" w:eastAsia="en-US" w:bidi="ar-SA"/>
      </w:rPr>
    </w:lvl>
    <w:lvl w:ilvl="1" w:tplc="4CA0E460">
      <w:numFmt w:val="bullet"/>
      <w:lvlText w:val="•"/>
      <w:lvlJc w:val="left"/>
      <w:pPr>
        <w:ind w:left="1980" w:hanging="361"/>
      </w:pPr>
      <w:rPr>
        <w:rFonts w:hint="default"/>
        <w:lang w:val="en-US" w:eastAsia="en-US" w:bidi="ar-SA"/>
      </w:rPr>
    </w:lvl>
    <w:lvl w:ilvl="2" w:tplc="FC54DBEA">
      <w:numFmt w:val="bullet"/>
      <w:lvlText w:val="•"/>
      <w:lvlJc w:val="left"/>
      <w:pPr>
        <w:ind w:left="2880" w:hanging="361"/>
      </w:pPr>
      <w:rPr>
        <w:rFonts w:hint="default"/>
        <w:lang w:val="en-US" w:eastAsia="en-US" w:bidi="ar-SA"/>
      </w:rPr>
    </w:lvl>
    <w:lvl w:ilvl="3" w:tplc="18F61AA2">
      <w:numFmt w:val="bullet"/>
      <w:lvlText w:val="•"/>
      <w:lvlJc w:val="left"/>
      <w:pPr>
        <w:ind w:left="3780" w:hanging="361"/>
      </w:pPr>
      <w:rPr>
        <w:rFonts w:hint="default"/>
        <w:lang w:val="en-US" w:eastAsia="en-US" w:bidi="ar-SA"/>
      </w:rPr>
    </w:lvl>
    <w:lvl w:ilvl="4" w:tplc="3AEE10BA">
      <w:numFmt w:val="bullet"/>
      <w:lvlText w:val="•"/>
      <w:lvlJc w:val="left"/>
      <w:pPr>
        <w:ind w:left="4680" w:hanging="361"/>
      </w:pPr>
      <w:rPr>
        <w:rFonts w:hint="default"/>
        <w:lang w:val="en-US" w:eastAsia="en-US" w:bidi="ar-SA"/>
      </w:rPr>
    </w:lvl>
    <w:lvl w:ilvl="5" w:tplc="F936510C">
      <w:numFmt w:val="bullet"/>
      <w:lvlText w:val="•"/>
      <w:lvlJc w:val="left"/>
      <w:pPr>
        <w:ind w:left="5580" w:hanging="361"/>
      </w:pPr>
      <w:rPr>
        <w:rFonts w:hint="default"/>
        <w:lang w:val="en-US" w:eastAsia="en-US" w:bidi="ar-SA"/>
      </w:rPr>
    </w:lvl>
    <w:lvl w:ilvl="6" w:tplc="C1AEB93A">
      <w:numFmt w:val="bullet"/>
      <w:lvlText w:val="•"/>
      <w:lvlJc w:val="left"/>
      <w:pPr>
        <w:ind w:left="6480" w:hanging="361"/>
      </w:pPr>
      <w:rPr>
        <w:rFonts w:hint="default"/>
        <w:lang w:val="en-US" w:eastAsia="en-US" w:bidi="ar-SA"/>
      </w:rPr>
    </w:lvl>
    <w:lvl w:ilvl="7" w:tplc="857EAC68">
      <w:numFmt w:val="bullet"/>
      <w:lvlText w:val="•"/>
      <w:lvlJc w:val="left"/>
      <w:pPr>
        <w:ind w:left="7380" w:hanging="361"/>
      </w:pPr>
      <w:rPr>
        <w:rFonts w:hint="default"/>
        <w:lang w:val="en-US" w:eastAsia="en-US" w:bidi="ar-SA"/>
      </w:rPr>
    </w:lvl>
    <w:lvl w:ilvl="8" w:tplc="7DA4947C">
      <w:numFmt w:val="bullet"/>
      <w:lvlText w:val="•"/>
      <w:lvlJc w:val="left"/>
      <w:pPr>
        <w:ind w:left="8280" w:hanging="361"/>
      </w:pPr>
      <w:rPr>
        <w:rFonts w:hint="default"/>
        <w:lang w:val="en-US" w:eastAsia="en-US" w:bidi="ar-SA"/>
      </w:rPr>
    </w:lvl>
  </w:abstractNum>
  <w:abstractNum w:abstractNumId="7" w15:restartNumberingAfterBreak="0">
    <w:nsid w:val="212A70E4"/>
    <w:multiLevelType w:val="hybridMultilevel"/>
    <w:tmpl w:val="EF148DF2"/>
    <w:lvl w:ilvl="0" w:tplc="42C026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2007A"/>
    <w:multiLevelType w:val="hybridMultilevel"/>
    <w:tmpl w:val="135C16BC"/>
    <w:lvl w:ilvl="0" w:tplc="9580D018">
      <w:start w:val="2"/>
      <w:numFmt w:val="decimal"/>
      <w:lvlText w:val="%1."/>
      <w:lvlJc w:val="left"/>
      <w:pPr>
        <w:ind w:left="1079" w:hanging="219"/>
      </w:pPr>
      <w:rPr>
        <w:rFonts w:ascii="Calibri" w:eastAsia="Calibri" w:hAnsi="Calibri" w:cs="Calibri" w:hint="default"/>
        <w:b w:val="0"/>
        <w:bCs w:val="0"/>
        <w:i/>
        <w:iCs/>
        <w:spacing w:val="0"/>
        <w:w w:val="100"/>
        <w:sz w:val="22"/>
        <w:szCs w:val="22"/>
        <w:lang w:val="en-US" w:eastAsia="en-US" w:bidi="ar-SA"/>
      </w:rPr>
    </w:lvl>
    <w:lvl w:ilvl="1" w:tplc="CAF0EF62">
      <w:start w:val="1"/>
      <w:numFmt w:val="lowerLetter"/>
      <w:lvlText w:val="%2)"/>
      <w:lvlJc w:val="left"/>
      <w:pPr>
        <w:ind w:left="1799" w:hanging="231"/>
      </w:pPr>
      <w:rPr>
        <w:rFonts w:ascii="Calibri" w:eastAsia="Calibri" w:hAnsi="Calibri" w:cs="Calibri" w:hint="default"/>
        <w:b w:val="0"/>
        <w:bCs w:val="0"/>
        <w:i/>
        <w:iCs/>
        <w:spacing w:val="-1"/>
        <w:w w:val="100"/>
        <w:sz w:val="22"/>
        <w:szCs w:val="22"/>
        <w:lang w:val="en-US" w:eastAsia="en-US" w:bidi="ar-SA"/>
      </w:rPr>
    </w:lvl>
    <w:lvl w:ilvl="2" w:tplc="1AAA5502">
      <w:numFmt w:val="bullet"/>
      <w:lvlText w:val="•"/>
      <w:lvlJc w:val="left"/>
      <w:pPr>
        <w:ind w:left="2720" w:hanging="231"/>
      </w:pPr>
      <w:rPr>
        <w:rFonts w:hint="default"/>
        <w:lang w:val="en-US" w:eastAsia="en-US" w:bidi="ar-SA"/>
      </w:rPr>
    </w:lvl>
    <w:lvl w:ilvl="3" w:tplc="A3B046A0">
      <w:numFmt w:val="bullet"/>
      <w:lvlText w:val="•"/>
      <w:lvlJc w:val="left"/>
      <w:pPr>
        <w:ind w:left="3640" w:hanging="231"/>
      </w:pPr>
      <w:rPr>
        <w:rFonts w:hint="default"/>
        <w:lang w:val="en-US" w:eastAsia="en-US" w:bidi="ar-SA"/>
      </w:rPr>
    </w:lvl>
    <w:lvl w:ilvl="4" w:tplc="D53A91DA">
      <w:numFmt w:val="bullet"/>
      <w:lvlText w:val="•"/>
      <w:lvlJc w:val="left"/>
      <w:pPr>
        <w:ind w:left="4560" w:hanging="231"/>
      </w:pPr>
      <w:rPr>
        <w:rFonts w:hint="default"/>
        <w:lang w:val="en-US" w:eastAsia="en-US" w:bidi="ar-SA"/>
      </w:rPr>
    </w:lvl>
    <w:lvl w:ilvl="5" w:tplc="CD74774A">
      <w:numFmt w:val="bullet"/>
      <w:lvlText w:val="•"/>
      <w:lvlJc w:val="left"/>
      <w:pPr>
        <w:ind w:left="5480" w:hanging="231"/>
      </w:pPr>
      <w:rPr>
        <w:rFonts w:hint="default"/>
        <w:lang w:val="en-US" w:eastAsia="en-US" w:bidi="ar-SA"/>
      </w:rPr>
    </w:lvl>
    <w:lvl w:ilvl="6" w:tplc="D464B852">
      <w:numFmt w:val="bullet"/>
      <w:lvlText w:val="•"/>
      <w:lvlJc w:val="left"/>
      <w:pPr>
        <w:ind w:left="6400" w:hanging="231"/>
      </w:pPr>
      <w:rPr>
        <w:rFonts w:hint="default"/>
        <w:lang w:val="en-US" w:eastAsia="en-US" w:bidi="ar-SA"/>
      </w:rPr>
    </w:lvl>
    <w:lvl w:ilvl="7" w:tplc="97B0D332">
      <w:numFmt w:val="bullet"/>
      <w:lvlText w:val="•"/>
      <w:lvlJc w:val="left"/>
      <w:pPr>
        <w:ind w:left="7320" w:hanging="231"/>
      </w:pPr>
      <w:rPr>
        <w:rFonts w:hint="default"/>
        <w:lang w:val="en-US" w:eastAsia="en-US" w:bidi="ar-SA"/>
      </w:rPr>
    </w:lvl>
    <w:lvl w:ilvl="8" w:tplc="ABF6B076">
      <w:numFmt w:val="bullet"/>
      <w:lvlText w:val="•"/>
      <w:lvlJc w:val="left"/>
      <w:pPr>
        <w:ind w:left="8240" w:hanging="231"/>
      </w:pPr>
      <w:rPr>
        <w:rFonts w:hint="default"/>
        <w:lang w:val="en-US" w:eastAsia="en-US" w:bidi="ar-SA"/>
      </w:rPr>
    </w:lvl>
  </w:abstractNum>
  <w:abstractNum w:abstractNumId="9" w15:restartNumberingAfterBreak="0">
    <w:nsid w:val="303F2683"/>
    <w:multiLevelType w:val="multilevel"/>
    <w:tmpl w:val="A33A915C"/>
    <w:lvl w:ilvl="0">
      <w:start w:val="1"/>
      <w:numFmt w:val="decimal"/>
      <w:pStyle w:val="Heading1"/>
      <w:lvlText w:val="%1"/>
      <w:lvlJc w:val="left"/>
      <w:pPr>
        <w:ind w:left="791" w:hanging="432"/>
      </w:pPr>
      <w:rPr>
        <w:rFonts w:ascii="Calibri Light" w:eastAsia="Calibri Light" w:hAnsi="Calibri Light" w:cs="Calibri Light" w:hint="default"/>
        <w:b w:val="0"/>
        <w:bCs w:val="0"/>
        <w:i w:val="0"/>
        <w:iCs w:val="0"/>
        <w:color w:val="2E5395"/>
        <w:spacing w:val="0"/>
        <w:w w:val="99"/>
        <w:sz w:val="32"/>
        <w:szCs w:val="32"/>
        <w:lang w:val="en-US" w:eastAsia="en-US" w:bidi="ar-SA"/>
      </w:rPr>
    </w:lvl>
    <w:lvl w:ilvl="1">
      <w:start w:val="1"/>
      <w:numFmt w:val="decimal"/>
      <w:pStyle w:val="Heading2"/>
      <w:lvlText w:val="%1.%2"/>
      <w:lvlJc w:val="left"/>
      <w:pPr>
        <w:ind w:left="935" w:hanging="576"/>
      </w:pPr>
      <w:rPr>
        <w:rFonts w:ascii="Calibri Light" w:eastAsia="Calibri Light" w:hAnsi="Calibri Light" w:cs="Calibri Light" w:hint="default"/>
        <w:b w:val="0"/>
        <w:bCs w:val="0"/>
        <w:i w:val="0"/>
        <w:iCs w:val="0"/>
        <w:color w:val="2E5395"/>
        <w:spacing w:val="-1"/>
        <w:w w:val="99"/>
        <w:sz w:val="26"/>
        <w:szCs w:val="26"/>
        <w:lang w:val="en-US" w:eastAsia="en-US" w:bidi="ar-SA"/>
      </w:rPr>
    </w:lvl>
    <w:lvl w:ilvl="2">
      <w:numFmt w:val="bullet"/>
      <w:lvlText w:val=""/>
      <w:lvlJc w:val="left"/>
      <w:pPr>
        <w:ind w:left="1800"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1080" w:hanging="361"/>
      </w:pPr>
      <w:rPr>
        <w:rFonts w:hint="default"/>
        <w:lang w:val="en-US" w:eastAsia="en-US" w:bidi="ar-SA"/>
      </w:rPr>
    </w:lvl>
    <w:lvl w:ilvl="4">
      <w:numFmt w:val="bullet"/>
      <w:lvlText w:val="•"/>
      <w:lvlJc w:val="left"/>
      <w:pPr>
        <w:ind w:left="1800" w:hanging="361"/>
      </w:pPr>
      <w:rPr>
        <w:rFonts w:hint="default"/>
        <w:lang w:val="en-US" w:eastAsia="en-US" w:bidi="ar-SA"/>
      </w:rPr>
    </w:lvl>
    <w:lvl w:ilvl="5">
      <w:numFmt w:val="bullet"/>
      <w:lvlText w:val="•"/>
      <w:lvlJc w:val="left"/>
      <w:pPr>
        <w:ind w:left="3180" w:hanging="361"/>
      </w:pPr>
      <w:rPr>
        <w:rFonts w:hint="default"/>
        <w:lang w:val="en-US" w:eastAsia="en-US" w:bidi="ar-SA"/>
      </w:rPr>
    </w:lvl>
    <w:lvl w:ilvl="6">
      <w:numFmt w:val="bullet"/>
      <w:lvlText w:val="•"/>
      <w:lvlJc w:val="left"/>
      <w:pPr>
        <w:ind w:left="4560" w:hanging="361"/>
      </w:pPr>
      <w:rPr>
        <w:rFonts w:hint="default"/>
        <w:lang w:val="en-US" w:eastAsia="en-US" w:bidi="ar-SA"/>
      </w:rPr>
    </w:lvl>
    <w:lvl w:ilvl="7">
      <w:numFmt w:val="bullet"/>
      <w:lvlText w:val="•"/>
      <w:lvlJc w:val="left"/>
      <w:pPr>
        <w:ind w:left="5940" w:hanging="361"/>
      </w:pPr>
      <w:rPr>
        <w:rFonts w:hint="default"/>
        <w:lang w:val="en-US" w:eastAsia="en-US" w:bidi="ar-SA"/>
      </w:rPr>
    </w:lvl>
    <w:lvl w:ilvl="8">
      <w:numFmt w:val="bullet"/>
      <w:lvlText w:val="•"/>
      <w:lvlJc w:val="left"/>
      <w:pPr>
        <w:ind w:left="7320" w:hanging="361"/>
      </w:pPr>
      <w:rPr>
        <w:rFonts w:hint="default"/>
        <w:lang w:val="en-US" w:eastAsia="en-US" w:bidi="ar-SA"/>
      </w:rPr>
    </w:lvl>
  </w:abstractNum>
  <w:abstractNum w:abstractNumId="10" w15:restartNumberingAfterBreak="0">
    <w:nsid w:val="370041CF"/>
    <w:multiLevelType w:val="hybridMultilevel"/>
    <w:tmpl w:val="B13CB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FB425A"/>
    <w:multiLevelType w:val="hybridMultilevel"/>
    <w:tmpl w:val="FFFFFFFF"/>
    <w:lvl w:ilvl="0" w:tplc="599E8370">
      <w:start w:val="1"/>
      <w:numFmt w:val="bullet"/>
      <w:lvlText w:val=""/>
      <w:lvlJc w:val="left"/>
      <w:pPr>
        <w:ind w:left="720" w:hanging="360"/>
      </w:pPr>
      <w:rPr>
        <w:rFonts w:ascii="Symbol" w:hAnsi="Symbol" w:hint="default"/>
      </w:rPr>
    </w:lvl>
    <w:lvl w:ilvl="1" w:tplc="CB306CB2">
      <w:start w:val="1"/>
      <w:numFmt w:val="bullet"/>
      <w:lvlText w:val="o"/>
      <w:lvlJc w:val="left"/>
      <w:pPr>
        <w:ind w:left="1440" w:hanging="360"/>
      </w:pPr>
      <w:rPr>
        <w:rFonts w:ascii="Courier New" w:hAnsi="Courier New" w:hint="default"/>
      </w:rPr>
    </w:lvl>
    <w:lvl w:ilvl="2" w:tplc="56E4E4EA">
      <w:start w:val="1"/>
      <w:numFmt w:val="bullet"/>
      <w:lvlText w:val=""/>
      <w:lvlJc w:val="left"/>
      <w:pPr>
        <w:ind w:left="2160" w:hanging="360"/>
      </w:pPr>
      <w:rPr>
        <w:rFonts w:ascii="Wingdings" w:hAnsi="Wingdings" w:hint="default"/>
      </w:rPr>
    </w:lvl>
    <w:lvl w:ilvl="3" w:tplc="70805F76">
      <w:start w:val="1"/>
      <w:numFmt w:val="bullet"/>
      <w:lvlText w:val=""/>
      <w:lvlJc w:val="left"/>
      <w:pPr>
        <w:ind w:left="2880" w:hanging="360"/>
      </w:pPr>
      <w:rPr>
        <w:rFonts w:ascii="Symbol" w:hAnsi="Symbol" w:hint="default"/>
      </w:rPr>
    </w:lvl>
    <w:lvl w:ilvl="4" w:tplc="C21A1026">
      <w:start w:val="1"/>
      <w:numFmt w:val="bullet"/>
      <w:lvlText w:val="o"/>
      <w:lvlJc w:val="left"/>
      <w:pPr>
        <w:ind w:left="3600" w:hanging="360"/>
      </w:pPr>
      <w:rPr>
        <w:rFonts w:ascii="Courier New" w:hAnsi="Courier New" w:hint="default"/>
      </w:rPr>
    </w:lvl>
    <w:lvl w:ilvl="5" w:tplc="C51687D6">
      <w:start w:val="1"/>
      <w:numFmt w:val="bullet"/>
      <w:lvlText w:val=""/>
      <w:lvlJc w:val="left"/>
      <w:pPr>
        <w:ind w:left="4320" w:hanging="360"/>
      </w:pPr>
      <w:rPr>
        <w:rFonts w:ascii="Wingdings" w:hAnsi="Wingdings" w:hint="default"/>
      </w:rPr>
    </w:lvl>
    <w:lvl w:ilvl="6" w:tplc="A7CE186E">
      <w:start w:val="1"/>
      <w:numFmt w:val="bullet"/>
      <w:lvlText w:val=""/>
      <w:lvlJc w:val="left"/>
      <w:pPr>
        <w:ind w:left="5040" w:hanging="360"/>
      </w:pPr>
      <w:rPr>
        <w:rFonts w:ascii="Symbol" w:hAnsi="Symbol" w:hint="default"/>
      </w:rPr>
    </w:lvl>
    <w:lvl w:ilvl="7" w:tplc="BA76D36C">
      <w:start w:val="1"/>
      <w:numFmt w:val="bullet"/>
      <w:lvlText w:val="o"/>
      <w:lvlJc w:val="left"/>
      <w:pPr>
        <w:ind w:left="5760" w:hanging="360"/>
      </w:pPr>
      <w:rPr>
        <w:rFonts w:ascii="Courier New" w:hAnsi="Courier New" w:hint="default"/>
      </w:rPr>
    </w:lvl>
    <w:lvl w:ilvl="8" w:tplc="8E0006FA">
      <w:start w:val="1"/>
      <w:numFmt w:val="bullet"/>
      <w:lvlText w:val=""/>
      <w:lvlJc w:val="left"/>
      <w:pPr>
        <w:ind w:left="6480" w:hanging="360"/>
      </w:pPr>
      <w:rPr>
        <w:rFonts w:ascii="Wingdings" w:hAnsi="Wingdings" w:hint="default"/>
      </w:rPr>
    </w:lvl>
  </w:abstractNum>
  <w:abstractNum w:abstractNumId="12" w15:restartNumberingAfterBreak="0">
    <w:nsid w:val="3BE9F7D0"/>
    <w:multiLevelType w:val="hybridMultilevel"/>
    <w:tmpl w:val="0D223DAE"/>
    <w:lvl w:ilvl="0" w:tplc="92E83D9E">
      <w:start w:val="1"/>
      <w:numFmt w:val="bullet"/>
      <w:lvlText w:val=""/>
      <w:lvlJc w:val="left"/>
      <w:pPr>
        <w:ind w:left="1080" w:hanging="360"/>
      </w:pPr>
      <w:rPr>
        <w:rFonts w:ascii="Symbol" w:hAnsi="Symbol" w:hint="default"/>
      </w:rPr>
    </w:lvl>
    <w:lvl w:ilvl="1" w:tplc="60B8E85A">
      <w:start w:val="1"/>
      <w:numFmt w:val="bullet"/>
      <w:lvlText w:val="o"/>
      <w:lvlJc w:val="left"/>
      <w:pPr>
        <w:ind w:left="1800" w:hanging="360"/>
      </w:pPr>
      <w:rPr>
        <w:rFonts w:ascii="Courier New" w:hAnsi="Courier New" w:hint="default"/>
      </w:rPr>
    </w:lvl>
    <w:lvl w:ilvl="2" w:tplc="60FABDBA">
      <w:start w:val="1"/>
      <w:numFmt w:val="bullet"/>
      <w:lvlText w:val=""/>
      <w:lvlJc w:val="left"/>
      <w:pPr>
        <w:ind w:left="2520" w:hanging="360"/>
      </w:pPr>
      <w:rPr>
        <w:rFonts w:ascii="Wingdings" w:hAnsi="Wingdings" w:hint="default"/>
      </w:rPr>
    </w:lvl>
    <w:lvl w:ilvl="3" w:tplc="2610B62E">
      <w:start w:val="1"/>
      <w:numFmt w:val="bullet"/>
      <w:lvlText w:val=""/>
      <w:lvlJc w:val="left"/>
      <w:pPr>
        <w:ind w:left="3240" w:hanging="360"/>
      </w:pPr>
      <w:rPr>
        <w:rFonts w:ascii="Symbol" w:hAnsi="Symbol" w:hint="default"/>
      </w:rPr>
    </w:lvl>
    <w:lvl w:ilvl="4" w:tplc="BB3C83C2">
      <w:start w:val="1"/>
      <w:numFmt w:val="bullet"/>
      <w:lvlText w:val="o"/>
      <w:lvlJc w:val="left"/>
      <w:pPr>
        <w:ind w:left="3960" w:hanging="360"/>
      </w:pPr>
      <w:rPr>
        <w:rFonts w:ascii="Courier New" w:hAnsi="Courier New" w:hint="default"/>
      </w:rPr>
    </w:lvl>
    <w:lvl w:ilvl="5" w:tplc="2F9A7D7A">
      <w:start w:val="1"/>
      <w:numFmt w:val="bullet"/>
      <w:lvlText w:val=""/>
      <w:lvlJc w:val="left"/>
      <w:pPr>
        <w:ind w:left="4680" w:hanging="360"/>
      </w:pPr>
      <w:rPr>
        <w:rFonts w:ascii="Wingdings" w:hAnsi="Wingdings" w:hint="default"/>
      </w:rPr>
    </w:lvl>
    <w:lvl w:ilvl="6" w:tplc="1864F64A">
      <w:start w:val="1"/>
      <w:numFmt w:val="bullet"/>
      <w:lvlText w:val=""/>
      <w:lvlJc w:val="left"/>
      <w:pPr>
        <w:ind w:left="5400" w:hanging="360"/>
      </w:pPr>
      <w:rPr>
        <w:rFonts w:ascii="Symbol" w:hAnsi="Symbol" w:hint="default"/>
      </w:rPr>
    </w:lvl>
    <w:lvl w:ilvl="7" w:tplc="2C0C3038">
      <w:start w:val="1"/>
      <w:numFmt w:val="bullet"/>
      <w:lvlText w:val="o"/>
      <w:lvlJc w:val="left"/>
      <w:pPr>
        <w:ind w:left="6120" w:hanging="360"/>
      </w:pPr>
      <w:rPr>
        <w:rFonts w:ascii="Courier New" w:hAnsi="Courier New" w:hint="default"/>
      </w:rPr>
    </w:lvl>
    <w:lvl w:ilvl="8" w:tplc="3E56F24A">
      <w:start w:val="1"/>
      <w:numFmt w:val="bullet"/>
      <w:lvlText w:val=""/>
      <w:lvlJc w:val="left"/>
      <w:pPr>
        <w:ind w:left="6840" w:hanging="360"/>
      </w:pPr>
      <w:rPr>
        <w:rFonts w:ascii="Wingdings" w:hAnsi="Wingdings" w:hint="default"/>
      </w:rPr>
    </w:lvl>
  </w:abstractNum>
  <w:abstractNum w:abstractNumId="13" w15:restartNumberingAfterBreak="0">
    <w:nsid w:val="3BFD2C23"/>
    <w:multiLevelType w:val="hybridMultilevel"/>
    <w:tmpl w:val="DFBCD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4D4B16"/>
    <w:multiLevelType w:val="hybridMultilevel"/>
    <w:tmpl w:val="913E9DD2"/>
    <w:lvl w:ilvl="0" w:tplc="0A1E98D4">
      <w:start w:val="1"/>
      <w:numFmt w:val="decimal"/>
      <w:lvlText w:val="%1."/>
      <w:lvlJc w:val="left"/>
      <w:pPr>
        <w:ind w:left="1079" w:hanging="361"/>
      </w:pPr>
      <w:rPr>
        <w:rFonts w:ascii="Calibri" w:eastAsia="Calibri" w:hAnsi="Calibri" w:cs="Calibri" w:hint="default"/>
        <w:b w:val="0"/>
        <w:bCs w:val="0"/>
        <w:i w:val="0"/>
        <w:iCs w:val="0"/>
        <w:spacing w:val="0"/>
        <w:w w:val="100"/>
        <w:sz w:val="22"/>
        <w:szCs w:val="22"/>
        <w:lang w:val="en-US" w:eastAsia="en-US" w:bidi="ar-SA"/>
      </w:rPr>
    </w:lvl>
    <w:lvl w:ilvl="1" w:tplc="71D69550">
      <w:numFmt w:val="bullet"/>
      <w:lvlText w:val="•"/>
      <w:lvlJc w:val="left"/>
      <w:pPr>
        <w:ind w:left="1980" w:hanging="361"/>
      </w:pPr>
      <w:rPr>
        <w:rFonts w:hint="default"/>
        <w:lang w:val="en-US" w:eastAsia="en-US" w:bidi="ar-SA"/>
      </w:rPr>
    </w:lvl>
    <w:lvl w:ilvl="2" w:tplc="97120280">
      <w:numFmt w:val="bullet"/>
      <w:lvlText w:val="•"/>
      <w:lvlJc w:val="left"/>
      <w:pPr>
        <w:ind w:left="2880" w:hanging="361"/>
      </w:pPr>
      <w:rPr>
        <w:rFonts w:hint="default"/>
        <w:lang w:val="en-US" w:eastAsia="en-US" w:bidi="ar-SA"/>
      </w:rPr>
    </w:lvl>
    <w:lvl w:ilvl="3" w:tplc="46DE2044">
      <w:numFmt w:val="bullet"/>
      <w:lvlText w:val="•"/>
      <w:lvlJc w:val="left"/>
      <w:pPr>
        <w:ind w:left="3780" w:hanging="361"/>
      </w:pPr>
      <w:rPr>
        <w:rFonts w:hint="default"/>
        <w:lang w:val="en-US" w:eastAsia="en-US" w:bidi="ar-SA"/>
      </w:rPr>
    </w:lvl>
    <w:lvl w:ilvl="4" w:tplc="59F80116">
      <w:numFmt w:val="bullet"/>
      <w:lvlText w:val="•"/>
      <w:lvlJc w:val="left"/>
      <w:pPr>
        <w:ind w:left="4680" w:hanging="361"/>
      </w:pPr>
      <w:rPr>
        <w:rFonts w:hint="default"/>
        <w:lang w:val="en-US" w:eastAsia="en-US" w:bidi="ar-SA"/>
      </w:rPr>
    </w:lvl>
    <w:lvl w:ilvl="5" w:tplc="F21CDCAA">
      <w:numFmt w:val="bullet"/>
      <w:lvlText w:val="•"/>
      <w:lvlJc w:val="left"/>
      <w:pPr>
        <w:ind w:left="5580" w:hanging="361"/>
      </w:pPr>
      <w:rPr>
        <w:rFonts w:hint="default"/>
        <w:lang w:val="en-US" w:eastAsia="en-US" w:bidi="ar-SA"/>
      </w:rPr>
    </w:lvl>
    <w:lvl w:ilvl="6" w:tplc="FAF2B95E">
      <w:numFmt w:val="bullet"/>
      <w:lvlText w:val="•"/>
      <w:lvlJc w:val="left"/>
      <w:pPr>
        <w:ind w:left="6480" w:hanging="361"/>
      </w:pPr>
      <w:rPr>
        <w:rFonts w:hint="default"/>
        <w:lang w:val="en-US" w:eastAsia="en-US" w:bidi="ar-SA"/>
      </w:rPr>
    </w:lvl>
    <w:lvl w:ilvl="7" w:tplc="E610909E">
      <w:numFmt w:val="bullet"/>
      <w:lvlText w:val="•"/>
      <w:lvlJc w:val="left"/>
      <w:pPr>
        <w:ind w:left="7380" w:hanging="361"/>
      </w:pPr>
      <w:rPr>
        <w:rFonts w:hint="default"/>
        <w:lang w:val="en-US" w:eastAsia="en-US" w:bidi="ar-SA"/>
      </w:rPr>
    </w:lvl>
    <w:lvl w:ilvl="8" w:tplc="97E838B4">
      <w:numFmt w:val="bullet"/>
      <w:lvlText w:val="•"/>
      <w:lvlJc w:val="left"/>
      <w:pPr>
        <w:ind w:left="8280" w:hanging="361"/>
      </w:pPr>
      <w:rPr>
        <w:rFonts w:hint="default"/>
        <w:lang w:val="en-US" w:eastAsia="en-US" w:bidi="ar-SA"/>
      </w:rPr>
    </w:lvl>
  </w:abstractNum>
  <w:abstractNum w:abstractNumId="15" w15:restartNumberingAfterBreak="0">
    <w:nsid w:val="5069125E"/>
    <w:multiLevelType w:val="hybridMultilevel"/>
    <w:tmpl w:val="84D6A03C"/>
    <w:lvl w:ilvl="0" w:tplc="2F228DA2">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73300E"/>
    <w:multiLevelType w:val="multilevel"/>
    <w:tmpl w:val="A6826BE8"/>
    <w:lvl w:ilvl="0">
      <w:start w:val="5"/>
      <w:numFmt w:val="decimal"/>
      <w:lvlText w:val="%1"/>
      <w:lvlJc w:val="left"/>
      <w:pPr>
        <w:ind w:left="976" w:hanging="617"/>
      </w:pPr>
      <w:rPr>
        <w:rFonts w:hint="default"/>
        <w:lang w:val="en-US" w:eastAsia="en-US" w:bidi="ar-SA"/>
      </w:rPr>
    </w:lvl>
    <w:lvl w:ilvl="1">
      <w:start w:val="11"/>
      <w:numFmt w:val="decimal"/>
      <w:lvlText w:val="%1.%2"/>
      <w:lvlJc w:val="left"/>
      <w:pPr>
        <w:ind w:left="976" w:hanging="617"/>
      </w:pPr>
      <w:rPr>
        <w:rFonts w:hint="default"/>
        <w:lang w:val="en-US" w:eastAsia="en-US" w:bidi="ar-SA"/>
      </w:rPr>
    </w:lvl>
    <w:lvl w:ilvl="2">
      <w:start w:val="1"/>
      <w:numFmt w:val="decimal"/>
      <w:lvlText w:val="%1.%2.%3"/>
      <w:lvlJc w:val="left"/>
      <w:pPr>
        <w:ind w:left="976" w:hanging="617"/>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710" w:hanging="617"/>
      </w:pPr>
      <w:rPr>
        <w:rFonts w:hint="default"/>
        <w:lang w:val="en-US" w:eastAsia="en-US" w:bidi="ar-SA"/>
      </w:rPr>
    </w:lvl>
    <w:lvl w:ilvl="4">
      <w:numFmt w:val="bullet"/>
      <w:lvlText w:val="•"/>
      <w:lvlJc w:val="left"/>
      <w:pPr>
        <w:ind w:left="4620" w:hanging="617"/>
      </w:pPr>
      <w:rPr>
        <w:rFonts w:hint="default"/>
        <w:lang w:val="en-US" w:eastAsia="en-US" w:bidi="ar-SA"/>
      </w:rPr>
    </w:lvl>
    <w:lvl w:ilvl="5">
      <w:numFmt w:val="bullet"/>
      <w:lvlText w:val="•"/>
      <w:lvlJc w:val="left"/>
      <w:pPr>
        <w:ind w:left="5530" w:hanging="617"/>
      </w:pPr>
      <w:rPr>
        <w:rFonts w:hint="default"/>
        <w:lang w:val="en-US" w:eastAsia="en-US" w:bidi="ar-SA"/>
      </w:rPr>
    </w:lvl>
    <w:lvl w:ilvl="6">
      <w:numFmt w:val="bullet"/>
      <w:lvlText w:val="•"/>
      <w:lvlJc w:val="left"/>
      <w:pPr>
        <w:ind w:left="6440" w:hanging="617"/>
      </w:pPr>
      <w:rPr>
        <w:rFonts w:hint="default"/>
        <w:lang w:val="en-US" w:eastAsia="en-US" w:bidi="ar-SA"/>
      </w:rPr>
    </w:lvl>
    <w:lvl w:ilvl="7">
      <w:numFmt w:val="bullet"/>
      <w:lvlText w:val="•"/>
      <w:lvlJc w:val="left"/>
      <w:pPr>
        <w:ind w:left="7350" w:hanging="617"/>
      </w:pPr>
      <w:rPr>
        <w:rFonts w:hint="default"/>
        <w:lang w:val="en-US" w:eastAsia="en-US" w:bidi="ar-SA"/>
      </w:rPr>
    </w:lvl>
    <w:lvl w:ilvl="8">
      <w:numFmt w:val="bullet"/>
      <w:lvlText w:val="•"/>
      <w:lvlJc w:val="left"/>
      <w:pPr>
        <w:ind w:left="8260" w:hanging="617"/>
      </w:pPr>
      <w:rPr>
        <w:rFonts w:hint="default"/>
        <w:lang w:val="en-US" w:eastAsia="en-US" w:bidi="ar-SA"/>
      </w:rPr>
    </w:lvl>
  </w:abstractNum>
  <w:abstractNum w:abstractNumId="17" w15:restartNumberingAfterBreak="0">
    <w:nsid w:val="607F77FF"/>
    <w:multiLevelType w:val="multilevel"/>
    <w:tmpl w:val="24BA798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61472294"/>
    <w:multiLevelType w:val="hybridMultilevel"/>
    <w:tmpl w:val="5C64CEDC"/>
    <w:lvl w:ilvl="0" w:tplc="433CD74A">
      <w:numFmt w:val="bullet"/>
      <w:lvlText w:val=""/>
      <w:lvlJc w:val="left"/>
      <w:pPr>
        <w:ind w:left="1799" w:hanging="361"/>
      </w:pPr>
      <w:rPr>
        <w:rFonts w:ascii="Symbol" w:eastAsia="Symbol" w:hAnsi="Symbol" w:cs="Symbol" w:hint="default"/>
        <w:b w:val="0"/>
        <w:bCs w:val="0"/>
        <w:i w:val="0"/>
        <w:iCs w:val="0"/>
        <w:spacing w:val="0"/>
        <w:w w:val="100"/>
        <w:sz w:val="22"/>
        <w:szCs w:val="22"/>
        <w:lang w:val="en-US" w:eastAsia="en-US" w:bidi="ar-SA"/>
      </w:rPr>
    </w:lvl>
    <w:lvl w:ilvl="1" w:tplc="ED8E22C2">
      <w:numFmt w:val="bullet"/>
      <w:lvlText w:val="•"/>
      <w:lvlJc w:val="left"/>
      <w:pPr>
        <w:ind w:left="2628" w:hanging="361"/>
      </w:pPr>
      <w:rPr>
        <w:rFonts w:hint="default"/>
        <w:lang w:val="en-US" w:eastAsia="en-US" w:bidi="ar-SA"/>
      </w:rPr>
    </w:lvl>
    <w:lvl w:ilvl="2" w:tplc="DBC4940C">
      <w:numFmt w:val="bullet"/>
      <w:lvlText w:val="•"/>
      <w:lvlJc w:val="left"/>
      <w:pPr>
        <w:ind w:left="3456" w:hanging="361"/>
      </w:pPr>
      <w:rPr>
        <w:rFonts w:hint="default"/>
        <w:lang w:val="en-US" w:eastAsia="en-US" w:bidi="ar-SA"/>
      </w:rPr>
    </w:lvl>
    <w:lvl w:ilvl="3" w:tplc="04DCE8E2">
      <w:numFmt w:val="bullet"/>
      <w:lvlText w:val="•"/>
      <w:lvlJc w:val="left"/>
      <w:pPr>
        <w:ind w:left="4284" w:hanging="361"/>
      </w:pPr>
      <w:rPr>
        <w:rFonts w:hint="default"/>
        <w:lang w:val="en-US" w:eastAsia="en-US" w:bidi="ar-SA"/>
      </w:rPr>
    </w:lvl>
    <w:lvl w:ilvl="4" w:tplc="A878992E">
      <w:numFmt w:val="bullet"/>
      <w:lvlText w:val="•"/>
      <w:lvlJc w:val="left"/>
      <w:pPr>
        <w:ind w:left="5112" w:hanging="361"/>
      </w:pPr>
      <w:rPr>
        <w:rFonts w:hint="default"/>
        <w:lang w:val="en-US" w:eastAsia="en-US" w:bidi="ar-SA"/>
      </w:rPr>
    </w:lvl>
    <w:lvl w:ilvl="5" w:tplc="E0CA203E">
      <w:numFmt w:val="bullet"/>
      <w:lvlText w:val="•"/>
      <w:lvlJc w:val="left"/>
      <w:pPr>
        <w:ind w:left="5940" w:hanging="361"/>
      </w:pPr>
      <w:rPr>
        <w:rFonts w:hint="default"/>
        <w:lang w:val="en-US" w:eastAsia="en-US" w:bidi="ar-SA"/>
      </w:rPr>
    </w:lvl>
    <w:lvl w:ilvl="6" w:tplc="67B28992">
      <w:numFmt w:val="bullet"/>
      <w:lvlText w:val="•"/>
      <w:lvlJc w:val="left"/>
      <w:pPr>
        <w:ind w:left="6768" w:hanging="361"/>
      </w:pPr>
      <w:rPr>
        <w:rFonts w:hint="default"/>
        <w:lang w:val="en-US" w:eastAsia="en-US" w:bidi="ar-SA"/>
      </w:rPr>
    </w:lvl>
    <w:lvl w:ilvl="7" w:tplc="0D18A5EC">
      <w:numFmt w:val="bullet"/>
      <w:lvlText w:val="•"/>
      <w:lvlJc w:val="left"/>
      <w:pPr>
        <w:ind w:left="7596" w:hanging="361"/>
      </w:pPr>
      <w:rPr>
        <w:rFonts w:hint="default"/>
        <w:lang w:val="en-US" w:eastAsia="en-US" w:bidi="ar-SA"/>
      </w:rPr>
    </w:lvl>
    <w:lvl w:ilvl="8" w:tplc="EC52941A">
      <w:numFmt w:val="bullet"/>
      <w:lvlText w:val="•"/>
      <w:lvlJc w:val="left"/>
      <w:pPr>
        <w:ind w:left="8424" w:hanging="361"/>
      </w:pPr>
      <w:rPr>
        <w:rFonts w:hint="default"/>
        <w:lang w:val="en-US" w:eastAsia="en-US" w:bidi="ar-SA"/>
      </w:rPr>
    </w:lvl>
  </w:abstractNum>
  <w:abstractNum w:abstractNumId="19" w15:restartNumberingAfterBreak="0">
    <w:nsid w:val="62785B74"/>
    <w:multiLevelType w:val="multilevel"/>
    <w:tmpl w:val="8ACE789E"/>
    <w:lvl w:ilvl="0">
      <w:start w:val="1"/>
      <w:numFmt w:val="decimal"/>
      <w:lvlText w:val="%1"/>
      <w:lvlJc w:val="left"/>
      <w:pPr>
        <w:ind w:left="799" w:hanging="440"/>
      </w:pPr>
      <w:rPr>
        <w:rFonts w:ascii="Calibri" w:eastAsia="Calibri" w:hAnsi="Calibri" w:cs="Calibri" w:hint="default"/>
        <w:b w:val="0"/>
        <w:bCs w:val="0"/>
        <w:i w:val="0"/>
        <w:iCs w:val="0"/>
        <w:spacing w:val="0"/>
        <w:w w:val="100"/>
        <w:sz w:val="22"/>
        <w:szCs w:val="22"/>
        <w:lang w:val="en-US" w:eastAsia="en-US" w:bidi="ar-SA"/>
      </w:rPr>
    </w:lvl>
    <w:lvl w:ilvl="1">
      <w:start w:val="1"/>
      <w:numFmt w:val="decimal"/>
      <w:lvlText w:val="%1.%2"/>
      <w:lvlJc w:val="left"/>
      <w:pPr>
        <w:ind w:left="1320" w:hanging="740"/>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2293" w:hanging="740"/>
      </w:pPr>
      <w:rPr>
        <w:rFonts w:hint="default"/>
        <w:lang w:val="en-US" w:eastAsia="en-US" w:bidi="ar-SA"/>
      </w:rPr>
    </w:lvl>
    <w:lvl w:ilvl="3">
      <w:numFmt w:val="bullet"/>
      <w:lvlText w:val="•"/>
      <w:lvlJc w:val="left"/>
      <w:pPr>
        <w:ind w:left="3266" w:hanging="740"/>
      </w:pPr>
      <w:rPr>
        <w:rFonts w:hint="default"/>
        <w:lang w:val="en-US" w:eastAsia="en-US" w:bidi="ar-SA"/>
      </w:rPr>
    </w:lvl>
    <w:lvl w:ilvl="4">
      <w:numFmt w:val="bullet"/>
      <w:lvlText w:val="•"/>
      <w:lvlJc w:val="left"/>
      <w:pPr>
        <w:ind w:left="4240" w:hanging="740"/>
      </w:pPr>
      <w:rPr>
        <w:rFonts w:hint="default"/>
        <w:lang w:val="en-US" w:eastAsia="en-US" w:bidi="ar-SA"/>
      </w:rPr>
    </w:lvl>
    <w:lvl w:ilvl="5">
      <w:numFmt w:val="bullet"/>
      <w:lvlText w:val="•"/>
      <w:lvlJc w:val="left"/>
      <w:pPr>
        <w:ind w:left="5213" w:hanging="740"/>
      </w:pPr>
      <w:rPr>
        <w:rFonts w:hint="default"/>
        <w:lang w:val="en-US" w:eastAsia="en-US" w:bidi="ar-SA"/>
      </w:rPr>
    </w:lvl>
    <w:lvl w:ilvl="6">
      <w:numFmt w:val="bullet"/>
      <w:lvlText w:val="•"/>
      <w:lvlJc w:val="left"/>
      <w:pPr>
        <w:ind w:left="6186" w:hanging="740"/>
      </w:pPr>
      <w:rPr>
        <w:rFonts w:hint="default"/>
        <w:lang w:val="en-US" w:eastAsia="en-US" w:bidi="ar-SA"/>
      </w:rPr>
    </w:lvl>
    <w:lvl w:ilvl="7">
      <w:numFmt w:val="bullet"/>
      <w:lvlText w:val="•"/>
      <w:lvlJc w:val="left"/>
      <w:pPr>
        <w:ind w:left="7160" w:hanging="740"/>
      </w:pPr>
      <w:rPr>
        <w:rFonts w:hint="default"/>
        <w:lang w:val="en-US" w:eastAsia="en-US" w:bidi="ar-SA"/>
      </w:rPr>
    </w:lvl>
    <w:lvl w:ilvl="8">
      <w:numFmt w:val="bullet"/>
      <w:lvlText w:val="•"/>
      <w:lvlJc w:val="left"/>
      <w:pPr>
        <w:ind w:left="8133" w:hanging="740"/>
      </w:pPr>
      <w:rPr>
        <w:rFonts w:hint="default"/>
        <w:lang w:val="en-US" w:eastAsia="en-US" w:bidi="ar-SA"/>
      </w:rPr>
    </w:lvl>
  </w:abstractNum>
  <w:abstractNum w:abstractNumId="20" w15:restartNumberingAfterBreak="0">
    <w:nsid w:val="642B1EDA"/>
    <w:multiLevelType w:val="hybridMultilevel"/>
    <w:tmpl w:val="6B38DD06"/>
    <w:lvl w:ilvl="0" w:tplc="C8027FA4">
      <w:start w:val="1"/>
      <w:numFmt w:val="decimal"/>
      <w:lvlText w:val="%1."/>
      <w:lvlJc w:val="left"/>
      <w:pPr>
        <w:ind w:left="2160" w:hanging="361"/>
        <w:jc w:val="right"/>
      </w:pPr>
      <w:rPr>
        <w:rFonts w:hint="default"/>
        <w:spacing w:val="0"/>
        <w:w w:val="100"/>
        <w:lang w:val="en-US" w:eastAsia="en-US" w:bidi="ar-SA"/>
      </w:rPr>
    </w:lvl>
    <w:lvl w:ilvl="1" w:tplc="46FA752A">
      <w:start w:val="1"/>
      <w:numFmt w:val="lowerLetter"/>
      <w:lvlText w:val="%2."/>
      <w:lvlJc w:val="left"/>
      <w:pPr>
        <w:ind w:left="2880" w:hanging="360"/>
      </w:pPr>
      <w:rPr>
        <w:rFonts w:ascii="Calibri" w:eastAsia="Calibri" w:hAnsi="Calibri" w:cs="Calibri" w:hint="default"/>
        <w:b/>
        <w:bCs/>
        <w:i/>
        <w:iCs/>
        <w:spacing w:val="0"/>
        <w:w w:val="100"/>
        <w:sz w:val="22"/>
        <w:szCs w:val="22"/>
        <w:lang w:val="en-US" w:eastAsia="en-US" w:bidi="ar-SA"/>
      </w:rPr>
    </w:lvl>
    <w:lvl w:ilvl="2" w:tplc="5AE2E4DA">
      <w:numFmt w:val="bullet"/>
      <w:lvlText w:val="•"/>
      <w:lvlJc w:val="left"/>
      <w:pPr>
        <w:ind w:left="3680" w:hanging="360"/>
      </w:pPr>
      <w:rPr>
        <w:rFonts w:hint="default"/>
        <w:lang w:val="en-US" w:eastAsia="en-US" w:bidi="ar-SA"/>
      </w:rPr>
    </w:lvl>
    <w:lvl w:ilvl="3" w:tplc="0580472A">
      <w:numFmt w:val="bullet"/>
      <w:lvlText w:val="•"/>
      <w:lvlJc w:val="left"/>
      <w:pPr>
        <w:ind w:left="4480" w:hanging="360"/>
      </w:pPr>
      <w:rPr>
        <w:rFonts w:hint="default"/>
        <w:lang w:val="en-US" w:eastAsia="en-US" w:bidi="ar-SA"/>
      </w:rPr>
    </w:lvl>
    <w:lvl w:ilvl="4" w:tplc="AE3253B4">
      <w:numFmt w:val="bullet"/>
      <w:lvlText w:val="•"/>
      <w:lvlJc w:val="left"/>
      <w:pPr>
        <w:ind w:left="5280" w:hanging="360"/>
      </w:pPr>
      <w:rPr>
        <w:rFonts w:hint="default"/>
        <w:lang w:val="en-US" w:eastAsia="en-US" w:bidi="ar-SA"/>
      </w:rPr>
    </w:lvl>
    <w:lvl w:ilvl="5" w:tplc="BB7AEE8E">
      <w:numFmt w:val="bullet"/>
      <w:lvlText w:val="•"/>
      <w:lvlJc w:val="left"/>
      <w:pPr>
        <w:ind w:left="6080" w:hanging="360"/>
      </w:pPr>
      <w:rPr>
        <w:rFonts w:hint="default"/>
        <w:lang w:val="en-US" w:eastAsia="en-US" w:bidi="ar-SA"/>
      </w:rPr>
    </w:lvl>
    <w:lvl w:ilvl="6" w:tplc="3FD2E1D4">
      <w:numFmt w:val="bullet"/>
      <w:lvlText w:val="•"/>
      <w:lvlJc w:val="left"/>
      <w:pPr>
        <w:ind w:left="6880" w:hanging="360"/>
      </w:pPr>
      <w:rPr>
        <w:rFonts w:hint="default"/>
        <w:lang w:val="en-US" w:eastAsia="en-US" w:bidi="ar-SA"/>
      </w:rPr>
    </w:lvl>
    <w:lvl w:ilvl="7" w:tplc="166C8188">
      <w:numFmt w:val="bullet"/>
      <w:lvlText w:val="•"/>
      <w:lvlJc w:val="left"/>
      <w:pPr>
        <w:ind w:left="7680" w:hanging="360"/>
      </w:pPr>
      <w:rPr>
        <w:rFonts w:hint="default"/>
        <w:lang w:val="en-US" w:eastAsia="en-US" w:bidi="ar-SA"/>
      </w:rPr>
    </w:lvl>
    <w:lvl w:ilvl="8" w:tplc="B358A4DE">
      <w:numFmt w:val="bullet"/>
      <w:lvlText w:val="•"/>
      <w:lvlJc w:val="left"/>
      <w:pPr>
        <w:ind w:left="8480" w:hanging="360"/>
      </w:pPr>
      <w:rPr>
        <w:rFonts w:hint="default"/>
        <w:lang w:val="en-US" w:eastAsia="en-US" w:bidi="ar-SA"/>
      </w:rPr>
    </w:lvl>
  </w:abstractNum>
  <w:abstractNum w:abstractNumId="21" w15:restartNumberingAfterBreak="0">
    <w:nsid w:val="66977F2C"/>
    <w:multiLevelType w:val="hybridMultilevel"/>
    <w:tmpl w:val="CE1E0EF6"/>
    <w:lvl w:ilvl="0" w:tplc="AEAED93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E57A9D"/>
    <w:multiLevelType w:val="hybridMultilevel"/>
    <w:tmpl w:val="5A6A19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16A2ED1"/>
    <w:multiLevelType w:val="hybridMultilevel"/>
    <w:tmpl w:val="9642DAAC"/>
    <w:lvl w:ilvl="0" w:tplc="707A5E1A">
      <w:start w:val="1"/>
      <w:numFmt w:val="decimal"/>
      <w:lvlText w:val="%1."/>
      <w:lvlJc w:val="left"/>
      <w:pPr>
        <w:ind w:left="1080" w:hanging="361"/>
      </w:pPr>
      <w:rPr>
        <w:rFonts w:ascii="Calibri" w:eastAsia="Calibri" w:hAnsi="Calibri" w:cs="Calibri" w:hint="default"/>
        <w:b w:val="0"/>
        <w:bCs w:val="0"/>
        <w:i w:val="0"/>
        <w:iCs w:val="0"/>
        <w:spacing w:val="0"/>
        <w:w w:val="100"/>
        <w:sz w:val="22"/>
        <w:szCs w:val="22"/>
        <w:lang w:val="en-US" w:eastAsia="en-US" w:bidi="ar-SA"/>
      </w:rPr>
    </w:lvl>
    <w:lvl w:ilvl="1" w:tplc="679ADBF6">
      <w:numFmt w:val="bullet"/>
      <w:lvlText w:val="•"/>
      <w:lvlJc w:val="left"/>
      <w:pPr>
        <w:ind w:left="1980" w:hanging="361"/>
      </w:pPr>
      <w:rPr>
        <w:rFonts w:hint="default"/>
        <w:lang w:val="en-US" w:eastAsia="en-US" w:bidi="ar-SA"/>
      </w:rPr>
    </w:lvl>
    <w:lvl w:ilvl="2" w:tplc="188C3782">
      <w:numFmt w:val="bullet"/>
      <w:lvlText w:val="•"/>
      <w:lvlJc w:val="left"/>
      <w:pPr>
        <w:ind w:left="2880" w:hanging="361"/>
      </w:pPr>
      <w:rPr>
        <w:rFonts w:hint="default"/>
        <w:lang w:val="en-US" w:eastAsia="en-US" w:bidi="ar-SA"/>
      </w:rPr>
    </w:lvl>
    <w:lvl w:ilvl="3" w:tplc="FB28E4B6">
      <w:numFmt w:val="bullet"/>
      <w:lvlText w:val="•"/>
      <w:lvlJc w:val="left"/>
      <w:pPr>
        <w:ind w:left="3780" w:hanging="361"/>
      </w:pPr>
      <w:rPr>
        <w:rFonts w:hint="default"/>
        <w:lang w:val="en-US" w:eastAsia="en-US" w:bidi="ar-SA"/>
      </w:rPr>
    </w:lvl>
    <w:lvl w:ilvl="4" w:tplc="A01CBBC4">
      <w:numFmt w:val="bullet"/>
      <w:lvlText w:val="•"/>
      <w:lvlJc w:val="left"/>
      <w:pPr>
        <w:ind w:left="4680" w:hanging="361"/>
      </w:pPr>
      <w:rPr>
        <w:rFonts w:hint="default"/>
        <w:lang w:val="en-US" w:eastAsia="en-US" w:bidi="ar-SA"/>
      </w:rPr>
    </w:lvl>
    <w:lvl w:ilvl="5" w:tplc="04EE75DE">
      <w:numFmt w:val="bullet"/>
      <w:lvlText w:val="•"/>
      <w:lvlJc w:val="left"/>
      <w:pPr>
        <w:ind w:left="5580" w:hanging="361"/>
      </w:pPr>
      <w:rPr>
        <w:rFonts w:hint="default"/>
        <w:lang w:val="en-US" w:eastAsia="en-US" w:bidi="ar-SA"/>
      </w:rPr>
    </w:lvl>
    <w:lvl w:ilvl="6" w:tplc="6B1EC8E4">
      <w:numFmt w:val="bullet"/>
      <w:lvlText w:val="•"/>
      <w:lvlJc w:val="left"/>
      <w:pPr>
        <w:ind w:left="6480" w:hanging="361"/>
      </w:pPr>
      <w:rPr>
        <w:rFonts w:hint="default"/>
        <w:lang w:val="en-US" w:eastAsia="en-US" w:bidi="ar-SA"/>
      </w:rPr>
    </w:lvl>
    <w:lvl w:ilvl="7" w:tplc="81BA2EAC">
      <w:numFmt w:val="bullet"/>
      <w:lvlText w:val="•"/>
      <w:lvlJc w:val="left"/>
      <w:pPr>
        <w:ind w:left="7380" w:hanging="361"/>
      </w:pPr>
      <w:rPr>
        <w:rFonts w:hint="default"/>
        <w:lang w:val="en-US" w:eastAsia="en-US" w:bidi="ar-SA"/>
      </w:rPr>
    </w:lvl>
    <w:lvl w:ilvl="8" w:tplc="F96E73C8">
      <w:numFmt w:val="bullet"/>
      <w:lvlText w:val="•"/>
      <w:lvlJc w:val="left"/>
      <w:pPr>
        <w:ind w:left="8280" w:hanging="361"/>
      </w:pPr>
      <w:rPr>
        <w:rFonts w:hint="default"/>
        <w:lang w:val="en-US" w:eastAsia="en-US" w:bidi="ar-SA"/>
      </w:rPr>
    </w:lvl>
  </w:abstractNum>
  <w:abstractNum w:abstractNumId="24" w15:restartNumberingAfterBreak="0">
    <w:nsid w:val="77223478"/>
    <w:multiLevelType w:val="hybridMultilevel"/>
    <w:tmpl w:val="1C6E2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3385084">
    <w:abstractNumId w:val="17"/>
  </w:num>
  <w:num w:numId="2" w16cid:durableId="1743605265">
    <w:abstractNumId w:val="2"/>
  </w:num>
  <w:num w:numId="3" w16cid:durableId="710617881">
    <w:abstractNumId w:val="12"/>
  </w:num>
  <w:num w:numId="4" w16cid:durableId="1715232469">
    <w:abstractNumId w:val="3"/>
  </w:num>
  <w:num w:numId="5" w16cid:durableId="1704361337">
    <w:abstractNumId w:val="23"/>
  </w:num>
  <w:num w:numId="6" w16cid:durableId="19940862">
    <w:abstractNumId w:val="8"/>
  </w:num>
  <w:num w:numId="7" w16cid:durableId="481390177">
    <w:abstractNumId w:val="1"/>
  </w:num>
  <w:num w:numId="8" w16cid:durableId="476456998">
    <w:abstractNumId w:val="20"/>
  </w:num>
  <w:num w:numId="9" w16cid:durableId="206798769">
    <w:abstractNumId w:val="18"/>
  </w:num>
  <w:num w:numId="10" w16cid:durableId="314843705">
    <w:abstractNumId w:val="14"/>
  </w:num>
  <w:num w:numId="11" w16cid:durableId="156465340">
    <w:abstractNumId w:val="6"/>
  </w:num>
  <w:num w:numId="12" w16cid:durableId="1846626545">
    <w:abstractNumId w:val="16"/>
  </w:num>
  <w:num w:numId="13" w16cid:durableId="729499182">
    <w:abstractNumId w:val="9"/>
  </w:num>
  <w:num w:numId="14" w16cid:durableId="1590507000">
    <w:abstractNumId w:val="19"/>
  </w:num>
  <w:num w:numId="15" w16cid:durableId="1759985482">
    <w:abstractNumId w:val="11"/>
  </w:num>
  <w:num w:numId="16" w16cid:durableId="1534422438">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1613516051">
    <w:abstractNumId w:val="0"/>
  </w:num>
  <w:num w:numId="18" w16cid:durableId="2076856909">
    <w:abstractNumId w:val="15"/>
  </w:num>
  <w:num w:numId="19" w16cid:durableId="1713772715">
    <w:abstractNumId w:val="5"/>
  </w:num>
  <w:num w:numId="20" w16cid:durableId="614558357">
    <w:abstractNumId w:val="7"/>
  </w:num>
  <w:num w:numId="21" w16cid:durableId="776481980">
    <w:abstractNumId w:val="21"/>
  </w:num>
  <w:num w:numId="22" w16cid:durableId="1173296482">
    <w:abstractNumId w:val="24"/>
  </w:num>
  <w:num w:numId="23" w16cid:durableId="1644309864">
    <w:abstractNumId w:val="13"/>
  </w:num>
  <w:num w:numId="24" w16cid:durableId="2000227825">
    <w:abstractNumId w:val="4"/>
  </w:num>
  <w:num w:numId="25" w16cid:durableId="91973297">
    <w:abstractNumId w:val="22"/>
  </w:num>
  <w:num w:numId="26" w16cid:durableId="6766877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se, Derek">
    <w15:presenceInfo w15:providerId="AD" w15:userId="S::CaseD@WSDOT.WA.GOV::35b57d5e-edb3-4bf5-8435-85c275b1a1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1D"/>
    <w:rsid w:val="00000891"/>
    <w:rsid w:val="00002142"/>
    <w:rsid w:val="0000270F"/>
    <w:rsid w:val="0000761E"/>
    <w:rsid w:val="00013883"/>
    <w:rsid w:val="00015A43"/>
    <w:rsid w:val="00023782"/>
    <w:rsid w:val="00024DB6"/>
    <w:rsid w:val="00025AEB"/>
    <w:rsid w:val="00026862"/>
    <w:rsid w:val="00026BBC"/>
    <w:rsid w:val="00030D65"/>
    <w:rsid w:val="00033F57"/>
    <w:rsid w:val="0003519F"/>
    <w:rsid w:val="000368F1"/>
    <w:rsid w:val="00040322"/>
    <w:rsid w:val="00041492"/>
    <w:rsid w:val="000442B1"/>
    <w:rsid w:val="000479D7"/>
    <w:rsid w:val="000527A0"/>
    <w:rsid w:val="00052B5A"/>
    <w:rsid w:val="00055641"/>
    <w:rsid w:val="00060B22"/>
    <w:rsid w:val="0006171D"/>
    <w:rsid w:val="00062FD6"/>
    <w:rsid w:val="000711A1"/>
    <w:rsid w:val="0007280E"/>
    <w:rsid w:val="00073AAD"/>
    <w:rsid w:val="000754FE"/>
    <w:rsid w:val="00076534"/>
    <w:rsid w:val="00076739"/>
    <w:rsid w:val="00081C8E"/>
    <w:rsid w:val="000824A4"/>
    <w:rsid w:val="0008479B"/>
    <w:rsid w:val="000876E2"/>
    <w:rsid w:val="00090135"/>
    <w:rsid w:val="00090226"/>
    <w:rsid w:val="00093726"/>
    <w:rsid w:val="00094367"/>
    <w:rsid w:val="00095BE5"/>
    <w:rsid w:val="000A03EB"/>
    <w:rsid w:val="000A0C26"/>
    <w:rsid w:val="000A1CD7"/>
    <w:rsid w:val="000A1F90"/>
    <w:rsid w:val="000A4539"/>
    <w:rsid w:val="000B169D"/>
    <w:rsid w:val="000B648C"/>
    <w:rsid w:val="000B7684"/>
    <w:rsid w:val="000C1C1D"/>
    <w:rsid w:val="000C3CF3"/>
    <w:rsid w:val="000C3F30"/>
    <w:rsid w:val="000C772B"/>
    <w:rsid w:val="000E219D"/>
    <w:rsid w:val="000E484B"/>
    <w:rsid w:val="000E7084"/>
    <w:rsid w:val="000F0CBE"/>
    <w:rsid w:val="000F10E0"/>
    <w:rsid w:val="000F2319"/>
    <w:rsid w:val="000F69BD"/>
    <w:rsid w:val="00101D93"/>
    <w:rsid w:val="0010256C"/>
    <w:rsid w:val="00106995"/>
    <w:rsid w:val="00112DC8"/>
    <w:rsid w:val="0011302C"/>
    <w:rsid w:val="0011331B"/>
    <w:rsid w:val="0011523D"/>
    <w:rsid w:val="0011FFCD"/>
    <w:rsid w:val="00121E15"/>
    <w:rsid w:val="001233CE"/>
    <w:rsid w:val="001246F4"/>
    <w:rsid w:val="001275B5"/>
    <w:rsid w:val="001304F3"/>
    <w:rsid w:val="00130CF6"/>
    <w:rsid w:val="00131000"/>
    <w:rsid w:val="001367B8"/>
    <w:rsid w:val="001409D4"/>
    <w:rsid w:val="00141CC3"/>
    <w:rsid w:val="00142B8E"/>
    <w:rsid w:val="00144794"/>
    <w:rsid w:val="00145DE3"/>
    <w:rsid w:val="0015292D"/>
    <w:rsid w:val="00152BD7"/>
    <w:rsid w:val="00155A41"/>
    <w:rsid w:val="00163AD3"/>
    <w:rsid w:val="00164995"/>
    <w:rsid w:val="00172B5F"/>
    <w:rsid w:val="00173C14"/>
    <w:rsid w:val="00176C00"/>
    <w:rsid w:val="00182156"/>
    <w:rsid w:val="00183973"/>
    <w:rsid w:val="00192BF6"/>
    <w:rsid w:val="00193DA5"/>
    <w:rsid w:val="00194CDD"/>
    <w:rsid w:val="00196D00"/>
    <w:rsid w:val="001A240E"/>
    <w:rsid w:val="001A4BBA"/>
    <w:rsid w:val="001A4C4A"/>
    <w:rsid w:val="001A5F08"/>
    <w:rsid w:val="001B07A2"/>
    <w:rsid w:val="001B0A05"/>
    <w:rsid w:val="001B6091"/>
    <w:rsid w:val="001C58AF"/>
    <w:rsid w:val="001C5D1E"/>
    <w:rsid w:val="001C72F0"/>
    <w:rsid w:val="001C776C"/>
    <w:rsid w:val="001D65F5"/>
    <w:rsid w:val="001E0B74"/>
    <w:rsid w:val="001E1A19"/>
    <w:rsid w:val="001E1D77"/>
    <w:rsid w:val="001E1E3D"/>
    <w:rsid w:val="001E25C0"/>
    <w:rsid w:val="001E2EE5"/>
    <w:rsid w:val="001E4662"/>
    <w:rsid w:val="001E4A00"/>
    <w:rsid w:val="00201DA3"/>
    <w:rsid w:val="00203744"/>
    <w:rsid w:val="002078C3"/>
    <w:rsid w:val="00213BFB"/>
    <w:rsid w:val="00215CB5"/>
    <w:rsid w:val="0021679A"/>
    <w:rsid w:val="00222365"/>
    <w:rsid w:val="00223ACF"/>
    <w:rsid w:val="002265FE"/>
    <w:rsid w:val="00226EBB"/>
    <w:rsid w:val="00231838"/>
    <w:rsid w:val="0023272F"/>
    <w:rsid w:val="002336A0"/>
    <w:rsid w:val="002355E6"/>
    <w:rsid w:val="00240682"/>
    <w:rsid w:val="00244369"/>
    <w:rsid w:val="002510A9"/>
    <w:rsid w:val="00251902"/>
    <w:rsid w:val="00251B2E"/>
    <w:rsid w:val="00252834"/>
    <w:rsid w:val="002538CE"/>
    <w:rsid w:val="002545EB"/>
    <w:rsid w:val="002607E3"/>
    <w:rsid w:val="002637AE"/>
    <w:rsid w:val="002677DB"/>
    <w:rsid w:val="00270C4E"/>
    <w:rsid w:val="00270E63"/>
    <w:rsid w:val="0027126F"/>
    <w:rsid w:val="002723EF"/>
    <w:rsid w:val="0027279A"/>
    <w:rsid w:val="002762A2"/>
    <w:rsid w:val="002773EC"/>
    <w:rsid w:val="002774EE"/>
    <w:rsid w:val="00283B97"/>
    <w:rsid w:val="0028476B"/>
    <w:rsid w:val="0029640F"/>
    <w:rsid w:val="00297580"/>
    <w:rsid w:val="002977E8"/>
    <w:rsid w:val="002A0183"/>
    <w:rsid w:val="002A06E5"/>
    <w:rsid w:val="002A0BDD"/>
    <w:rsid w:val="002A18FC"/>
    <w:rsid w:val="002A2795"/>
    <w:rsid w:val="002A4482"/>
    <w:rsid w:val="002A698D"/>
    <w:rsid w:val="002A7A46"/>
    <w:rsid w:val="002B11C0"/>
    <w:rsid w:val="002B17EF"/>
    <w:rsid w:val="002B2095"/>
    <w:rsid w:val="002B21D5"/>
    <w:rsid w:val="002B3F44"/>
    <w:rsid w:val="002B710D"/>
    <w:rsid w:val="002C2C2C"/>
    <w:rsid w:val="002C4AFE"/>
    <w:rsid w:val="002C53A5"/>
    <w:rsid w:val="002C5762"/>
    <w:rsid w:val="002E29AD"/>
    <w:rsid w:val="002E2B5D"/>
    <w:rsid w:val="002E38FE"/>
    <w:rsid w:val="002E3FB3"/>
    <w:rsid w:val="002F7C73"/>
    <w:rsid w:val="00304928"/>
    <w:rsid w:val="003067F2"/>
    <w:rsid w:val="00311190"/>
    <w:rsid w:val="00315F00"/>
    <w:rsid w:val="00320FFD"/>
    <w:rsid w:val="003210D1"/>
    <w:rsid w:val="00323C17"/>
    <w:rsid w:val="003314DE"/>
    <w:rsid w:val="00334EE0"/>
    <w:rsid w:val="00335CA8"/>
    <w:rsid w:val="00342D24"/>
    <w:rsid w:val="0035074B"/>
    <w:rsid w:val="00352E1D"/>
    <w:rsid w:val="00355B69"/>
    <w:rsid w:val="003576F9"/>
    <w:rsid w:val="00361E9F"/>
    <w:rsid w:val="00363F79"/>
    <w:rsid w:val="003647B7"/>
    <w:rsid w:val="003652C5"/>
    <w:rsid w:val="00373E51"/>
    <w:rsid w:val="00375ABC"/>
    <w:rsid w:val="00375CC7"/>
    <w:rsid w:val="003760B7"/>
    <w:rsid w:val="003805E0"/>
    <w:rsid w:val="003845A4"/>
    <w:rsid w:val="00393A0A"/>
    <w:rsid w:val="0039531C"/>
    <w:rsid w:val="00396357"/>
    <w:rsid w:val="00397695"/>
    <w:rsid w:val="0039CD6C"/>
    <w:rsid w:val="003A0217"/>
    <w:rsid w:val="003A450E"/>
    <w:rsid w:val="003A7099"/>
    <w:rsid w:val="003B4B58"/>
    <w:rsid w:val="003B65E4"/>
    <w:rsid w:val="003C017D"/>
    <w:rsid w:val="003C1C9A"/>
    <w:rsid w:val="003C3B17"/>
    <w:rsid w:val="003D160F"/>
    <w:rsid w:val="003D167A"/>
    <w:rsid w:val="003D1D79"/>
    <w:rsid w:val="003E0D4B"/>
    <w:rsid w:val="003E47C6"/>
    <w:rsid w:val="003E4F82"/>
    <w:rsid w:val="003E510E"/>
    <w:rsid w:val="003E56D4"/>
    <w:rsid w:val="003F07EF"/>
    <w:rsid w:val="003F53B9"/>
    <w:rsid w:val="00412BFB"/>
    <w:rsid w:val="00417590"/>
    <w:rsid w:val="004229AD"/>
    <w:rsid w:val="00422FBD"/>
    <w:rsid w:val="004245A7"/>
    <w:rsid w:val="0042590A"/>
    <w:rsid w:val="00427250"/>
    <w:rsid w:val="00436536"/>
    <w:rsid w:val="00437E49"/>
    <w:rsid w:val="004400BF"/>
    <w:rsid w:val="00440B5C"/>
    <w:rsid w:val="00441EAF"/>
    <w:rsid w:val="00442332"/>
    <w:rsid w:val="00450166"/>
    <w:rsid w:val="00461488"/>
    <w:rsid w:val="004640AE"/>
    <w:rsid w:val="00466D15"/>
    <w:rsid w:val="004726BB"/>
    <w:rsid w:val="004734CE"/>
    <w:rsid w:val="004756A8"/>
    <w:rsid w:val="00475B6E"/>
    <w:rsid w:val="00480885"/>
    <w:rsid w:val="004812D4"/>
    <w:rsid w:val="004843DD"/>
    <w:rsid w:val="004859FC"/>
    <w:rsid w:val="00487E83"/>
    <w:rsid w:val="004960DE"/>
    <w:rsid w:val="0049665C"/>
    <w:rsid w:val="00497A39"/>
    <w:rsid w:val="004A12A9"/>
    <w:rsid w:val="004A1624"/>
    <w:rsid w:val="004A28AF"/>
    <w:rsid w:val="004A3C40"/>
    <w:rsid w:val="004A52CB"/>
    <w:rsid w:val="004A7939"/>
    <w:rsid w:val="004B0593"/>
    <w:rsid w:val="004B178C"/>
    <w:rsid w:val="004B3D07"/>
    <w:rsid w:val="004B760F"/>
    <w:rsid w:val="004C1667"/>
    <w:rsid w:val="004C1A1E"/>
    <w:rsid w:val="004C29C6"/>
    <w:rsid w:val="004C4997"/>
    <w:rsid w:val="004D0905"/>
    <w:rsid w:val="004F4D50"/>
    <w:rsid w:val="004F5933"/>
    <w:rsid w:val="0050284A"/>
    <w:rsid w:val="005049ED"/>
    <w:rsid w:val="005056D6"/>
    <w:rsid w:val="00507B5F"/>
    <w:rsid w:val="005101EE"/>
    <w:rsid w:val="00513FEF"/>
    <w:rsid w:val="00514A5B"/>
    <w:rsid w:val="00514B61"/>
    <w:rsid w:val="0051556A"/>
    <w:rsid w:val="005171C0"/>
    <w:rsid w:val="00517463"/>
    <w:rsid w:val="0052184F"/>
    <w:rsid w:val="00521F8F"/>
    <w:rsid w:val="00522801"/>
    <w:rsid w:val="00523FE6"/>
    <w:rsid w:val="0052592B"/>
    <w:rsid w:val="00526439"/>
    <w:rsid w:val="00526AD7"/>
    <w:rsid w:val="005426B4"/>
    <w:rsid w:val="0054548E"/>
    <w:rsid w:val="00545AB9"/>
    <w:rsid w:val="00545BFD"/>
    <w:rsid w:val="005470CF"/>
    <w:rsid w:val="00550942"/>
    <w:rsid w:val="005519EE"/>
    <w:rsid w:val="00555AB0"/>
    <w:rsid w:val="00555FB1"/>
    <w:rsid w:val="005561CB"/>
    <w:rsid w:val="005564F2"/>
    <w:rsid w:val="005566A9"/>
    <w:rsid w:val="00560321"/>
    <w:rsid w:val="00561AA7"/>
    <w:rsid w:val="00566FBC"/>
    <w:rsid w:val="00567481"/>
    <w:rsid w:val="00570C04"/>
    <w:rsid w:val="00573178"/>
    <w:rsid w:val="00573D07"/>
    <w:rsid w:val="0057496F"/>
    <w:rsid w:val="005750E9"/>
    <w:rsid w:val="0057563F"/>
    <w:rsid w:val="00583DD9"/>
    <w:rsid w:val="005840E3"/>
    <w:rsid w:val="00586717"/>
    <w:rsid w:val="00586C9C"/>
    <w:rsid w:val="0059140F"/>
    <w:rsid w:val="005915CB"/>
    <w:rsid w:val="005923F9"/>
    <w:rsid w:val="00593A1F"/>
    <w:rsid w:val="00595663"/>
    <w:rsid w:val="00595B71"/>
    <w:rsid w:val="00595C59"/>
    <w:rsid w:val="0059668A"/>
    <w:rsid w:val="00597AA7"/>
    <w:rsid w:val="00597CDB"/>
    <w:rsid w:val="005A51BB"/>
    <w:rsid w:val="005A51FF"/>
    <w:rsid w:val="005A60D8"/>
    <w:rsid w:val="005A77A1"/>
    <w:rsid w:val="005B3418"/>
    <w:rsid w:val="005B669A"/>
    <w:rsid w:val="005B7633"/>
    <w:rsid w:val="005C2B8F"/>
    <w:rsid w:val="005C5788"/>
    <w:rsid w:val="005C7030"/>
    <w:rsid w:val="005C746B"/>
    <w:rsid w:val="005C76EA"/>
    <w:rsid w:val="005D5DB1"/>
    <w:rsid w:val="005F114D"/>
    <w:rsid w:val="005F274A"/>
    <w:rsid w:val="005F4076"/>
    <w:rsid w:val="005F741C"/>
    <w:rsid w:val="005F77A0"/>
    <w:rsid w:val="0060045F"/>
    <w:rsid w:val="00600C2F"/>
    <w:rsid w:val="00601BB7"/>
    <w:rsid w:val="0061535A"/>
    <w:rsid w:val="00615E63"/>
    <w:rsid w:val="00622763"/>
    <w:rsid w:val="006249D6"/>
    <w:rsid w:val="00625231"/>
    <w:rsid w:val="006312D6"/>
    <w:rsid w:val="006321D7"/>
    <w:rsid w:val="0063226A"/>
    <w:rsid w:val="00632B5F"/>
    <w:rsid w:val="00634858"/>
    <w:rsid w:val="0063543A"/>
    <w:rsid w:val="006373ED"/>
    <w:rsid w:val="00637B01"/>
    <w:rsid w:val="00641875"/>
    <w:rsid w:val="006418EE"/>
    <w:rsid w:val="00641B0E"/>
    <w:rsid w:val="006454B0"/>
    <w:rsid w:val="00650620"/>
    <w:rsid w:val="00651A3F"/>
    <w:rsid w:val="006532CD"/>
    <w:rsid w:val="0065633E"/>
    <w:rsid w:val="0066287F"/>
    <w:rsid w:val="00663B78"/>
    <w:rsid w:val="0066408A"/>
    <w:rsid w:val="0067069E"/>
    <w:rsid w:val="006718C6"/>
    <w:rsid w:val="0067244C"/>
    <w:rsid w:val="0067401D"/>
    <w:rsid w:val="00675989"/>
    <w:rsid w:val="006768C2"/>
    <w:rsid w:val="006768F4"/>
    <w:rsid w:val="00680CF2"/>
    <w:rsid w:val="00681253"/>
    <w:rsid w:val="006849BB"/>
    <w:rsid w:val="00685F2A"/>
    <w:rsid w:val="00690395"/>
    <w:rsid w:val="00693540"/>
    <w:rsid w:val="006A3D14"/>
    <w:rsid w:val="006A4EEA"/>
    <w:rsid w:val="006A7376"/>
    <w:rsid w:val="006B0409"/>
    <w:rsid w:val="006B2374"/>
    <w:rsid w:val="006B7132"/>
    <w:rsid w:val="006C02DF"/>
    <w:rsid w:val="006C2244"/>
    <w:rsid w:val="006C502D"/>
    <w:rsid w:val="006C6E57"/>
    <w:rsid w:val="006D10F0"/>
    <w:rsid w:val="006D1110"/>
    <w:rsid w:val="006D281E"/>
    <w:rsid w:val="006D41D6"/>
    <w:rsid w:val="006E1BCB"/>
    <w:rsid w:val="006E3A49"/>
    <w:rsid w:val="006E651E"/>
    <w:rsid w:val="006E6BA9"/>
    <w:rsid w:val="006E7F73"/>
    <w:rsid w:val="006F0535"/>
    <w:rsid w:val="006F36A6"/>
    <w:rsid w:val="006F3A08"/>
    <w:rsid w:val="006F4AC5"/>
    <w:rsid w:val="0070284F"/>
    <w:rsid w:val="007060CE"/>
    <w:rsid w:val="007064C5"/>
    <w:rsid w:val="007103B6"/>
    <w:rsid w:val="007120A2"/>
    <w:rsid w:val="00720A6A"/>
    <w:rsid w:val="007211FE"/>
    <w:rsid w:val="00721E41"/>
    <w:rsid w:val="00723D1C"/>
    <w:rsid w:val="0072409E"/>
    <w:rsid w:val="00724270"/>
    <w:rsid w:val="00726CD4"/>
    <w:rsid w:val="00730C93"/>
    <w:rsid w:val="007310AC"/>
    <w:rsid w:val="00733733"/>
    <w:rsid w:val="00733B9C"/>
    <w:rsid w:val="00735983"/>
    <w:rsid w:val="0074109A"/>
    <w:rsid w:val="00746695"/>
    <w:rsid w:val="00746E02"/>
    <w:rsid w:val="007500F7"/>
    <w:rsid w:val="00750BC1"/>
    <w:rsid w:val="00755DFF"/>
    <w:rsid w:val="00767182"/>
    <w:rsid w:val="00771333"/>
    <w:rsid w:val="00771900"/>
    <w:rsid w:val="00772B8D"/>
    <w:rsid w:val="007732D8"/>
    <w:rsid w:val="0077391D"/>
    <w:rsid w:val="00773F07"/>
    <w:rsid w:val="00775D3B"/>
    <w:rsid w:val="007769D3"/>
    <w:rsid w:val="007803FC"/>
    <w:rsid w:val="00781CA0"/>
    <w:rsid w:val="00781F6D"/>
    <w:rsid w:val="0078290A"/>
    <w:rsid w:val="0079273D"/>
    <w:rsid w:val="0079593C"/>
    <w:rsid w:val="00795B43"/>
    <w:rsid w:val="00797361"/>
    <w:rsid w:val="007A313B"/>
    <w:rsid w:val="007A5971"/>
    <w:rsid w:val="007B1E27"/>
    <w:rsid w:val="007B47B6"/>
    <w:rsid w:val="007B4D0A"/>
    <w:rsid w:val="007B5483"/>
    <w:rsid w:val="007C2D20"/>
    <w:rsid w:val="007C4DA0"/>
    <w:rsid w:val="007D22F1"/>
    <w:rsid w:val="007D55E4"/>
    <w:rsid w:val="007E0CD1"/>
    <w:rsid w:val="007E0E33"/>
    <w:rsid w:val="007E12DF"/>
    <w:rsid w:val="007E1CE2"/>
    <w:rsid w:val="007F2B0A"/>
    <w:rsid w:val="007F3A36"/>
    <w:rsid w:val="007F6A29"/>
    <w:rsid w:val="00800883"/>
    <w:rsid w:val="008052E5"/>
    <w:rsid w:val="00805E1F"/>
    <w:rsid w:val="0080721E"/>
    <w:rsid w:val="00807A87"/>
    <w:rsid w:val="00812A00"/>
    <w:rsid w:val="00814341"/>
    <w:rsid w:val="008165F8"/>
    <w:rsid w:val="008168EE"/>
    <w:rsid w:val="00817447"/>
    <w:rsid w:val="008219D6"/>
    <w:rsid w:val="0082308C"/>
    <w:rsid w:val="00823D21"/>
    <w:rsid w:val="008242EE"/>
    <w:rsid w:val="008244AE"/>
    <w:rsid w:val="00825D45"/>
    <w:rsid w:val="008338A1"/>
    <w:rsid w:val="0083488C"/>
    <w:rsid w:val="0083703C"/>
    <w:rsid w:val="0084062B"/>
    <w:rsid w:val="00841473"/>
    <w:rsid w:val="00842FEB"/>
    <w:rsid w:val="008438BC"/>
    <w:rsid w:val="00844229"/>
    <w:rsid w:val="00847CFE"/>
    <w:rsid w:val="00861D17"/>
    <w:rsid w:val="00863634"/>
    <w:rsid w:val="00864957"/>
    <w:rsid w:val="00865E23"/>
    <w:rsid w:val="00866B71"/>
    <w:rsid w:val="00866D9D"/>
    <w:rsid w:val="00872FE3"/>
    <w:rsid w:val="008734B4"/>
    <w:rsid w:val="00875ED9"/>
    <w:rsid w:val="00877EF2"/>
    <w:rsid w:val="0088085F"/>
    <w:rsid w:val="0088195B"/>
    <w:rsid w:val="008859D4"/>
    <w:rsid w:val="00885F24"/>
    <w:rsid w:val="008952C3"/>
    <w:rsid w:val="008A644C"/>
    <w:rsid w:val="008A7E29"/>
    <w:rsid w:val="008B1B08"/>
    <w:rsid w:val="008B3615"/>
    <w:rsid w:val="008B4176"/>
    <w:rsid w:val="008B4DC8"/>
    <w:rsid w:val="008C10FD"/>
    <w:rsid w:val="008C16A9"/>
    <w:rsid w:val="008C2248"/>
    <w:rsid w:val="008C48DE"/>
    <w:rsid w:val="008D499F"/>
    <w:rsid w:val="008E2BED"/>
    <w:rsid w:val="008E3EF6"/>
    <w:rsid w:val="008E5AD9"/>
    <w:rsid w:val="008E6414"/>
    <w:rsid w:val="008E7B31"/>
    <w:rsid w:val="008E7B7D"/>
    <w:rsid w:val="008F7077"/>
    <w:rsid w:val="00903176"/>
    <w:rsid w:val="00911FE9"/>
    <w:rsid w:val="00912DB9"/>
    <w:rsid w:val="0091374E"/>
    <w:rsid w:val="0091392B"/>
    <w:rsid w:val="009151E9"/>
    <w:rsid w:val="0091535E"/>
    <w:rsid w:val="00921E81"/>
    <w:rsid w:val="00922C7B"/>
    <w:rsid w:val="00923044"/>
    <w:rsid w:val="0092430D"/>
    <w:rsid w:val="00926DCF"/>
    <w:rsid w:val="00932D61"/>
    <w:rsid w:val="00934219"/>
    <w:rsid w:val="00937149"/>
    <w:rsid w:val="00942E47"/>
    <w:rsid w:val="00944F6A"/>
    <w:rsid w:val="009473F6"/>
    <w:rsid w:val="0095558F"/>
    <w:rsid w:val="00960FF8"/>
    <w:rsid w:val="00961643"/>
    <w:rsid w:val="00961F65"/>
    <w:rsid w:val="00962B6E"/>
    <w:rsid w:val="00963743"/>
    <w:rsid w:val="00965403"/>
    <w:rsid w:val="009678D3"/>
    <w:rsid w:val="00971C82"/>
    <w:rsid w:val="00971EEF"/>
    <w:rsid w:val="00976A2C"/>
    <w:rsid w:val="0097710F"/>
    <w:rsid w:val="0098479C"/>
    <w:rsid w:val="0098791F"/>
    <w:rsid w:val="009924BD"/>
    <w:rsid w:val="00994061"/>
    <w:rsid w:val="0099586F"/>
    <w:rsid w:val="009A0245"/>
    <w:rsid w:val="009A1E3C"/>
    <w:rsid w:val="009A48AD"/>
    <w:rsid w:val="009A6D1F"/>
    <w:rsid w:val="009A75B5"/>
    <w:rsid w:val="009B09CA"/>
    <w:rsid w:val="009B7131"/>
    <w:rsid w:val="009C0390"/>
    <w:rsid w:val="009C09B3"/>
    <w:rsid w:val="009C13BF"/>
    <w:rsid w:val="009C2C98"/>
    <w:rsid w:val="009C36D9"/>
    <w:rsid w:val="009C4323"/>
    <w:rsid w:val="009D03AB"/>
    <w:rsid w:val="009D1715"/>
    <w:rsid w:val="009D2906"/>
    <w:rsid w:val="009E2228"/>
    <w:rsid w:val="009E2624"/>
    <w:rsid w:val="009E4A1C"/>
    <w:rsid w:val="009E62A9"/>
    <w:rsid w:val="009E6BC5"/>
    <w:rsid w:val="009F188B"/>
    <w:rsid w:val="009F60DC"/>
    <w:rsid w:val="00A01424"/>
    <w:rsid w:val="00A035D3"/>
    <w:rsid w:val="00A05ABD"/>
    <w:rsid w:val="00A070F7"/>
    <w:rsid w:val="00A079CF"/>
    <w:rsid w:val="00A1068A"/>
    <w:rsid w:val="00A144D9"/>
    <w:rsid w:val="00A17C97"/>
    <w:rsid w:val="00A24F93"/>
    <w:rsid w:val="00A26CE1"/>
    <w:rsid w:val="00A334CD"/>
    <w:rsid w:val="00A33A7B"/>
    <w:rsid w:val="00A3717E"/>
    <w:rsid w:val="00A37F35"/>
    <w:rsid w:val="00A45388"/>
    <w:rsid w:val="00A45B5A"/>
    <w:rsid w:val="00A52B4B"/>
    <w:rsid w:val="00A52C05"/>
    <w:rsid w:val="00A53109"/>
    <w:rsid w:val="00A55F37"/>
    <w:rsid w:val="00A5612E"/>
    <w:rsid w:val="00A56380"/>
    <w:rsid w:val="00A56CA6"/>
    <w:rsid w:val="00A5786E"/>
    <w:rsid w:val="00A73EC3"/>
    <w:rsid w:val="00A74B50"/>
    <w:rsid w:val="00A76A91"/>
    <w:rsid w:val="00A80114"/>
    <w:rsid w:val="00A8649A"/>
    <w:rsid w:val="00A90AC8"/>
    <w:rsid w:val="00AA1445"/>
    <w:rsid w:val="00AB0C87"/>
    <w:rsid w:val="00AB4EBD"/>
    <w:rsid w:val="00AB7834"/>
    <w:rsid w:val="00AC0B91"/>
    <w:rsid w:val="00AC32F3"/>
    <w:rsid w:val="00AC3D11"/>
    <w:rsid w:val="00AC775D"/>
    <w:rsid w:val="00AD196A"/>
    <w:rsid w:val="00AD428E"/>
    <w:rsid w:val="00AD6396"/>
    <w:rsid w:val="00AE12BA"/>
    <w:rsid w:val="00AE5DAC"/>
    <w:rsid w:val="00AF2725"/>
    <w:rsid w:val="00AF3548"/>
    <w:rsid w:val="00AF781A"/>
    <w:rsid w:val="00B02BFF"/>
    <w:rsid w:val="00B06353"/>
    <w:rsid w:val="00B10AB5"/>
    <w:rsid w:val="00B11C12"/>
    <w:rsid w:val="00B1297C"/>
    <w:rsid w:val="00B146D0"/>
    <w:rsid w:val="00B21A69"/>
    <w:rsid w:val="00B21E55"/>
    <w:rsid w:val="00B24223"/>
    <w:rsid w:val="00B2614B"/>
    <w:rsid w:val="00B342E3"/>
    <w:rsid w:val="00B3478A"/>
    <w:rsid w:val="00B3509B"/>
    <w:rsid w:val="00B36E59"/>
    <w:rsid w:val="00B40078"/>
    <w:rsid w:val="00B41F44"/>
    <w:rsid w:val="00B42C28"/>
    <w:rsid w:val="00B46560"/>
    <w:rsid w:val="00B46B67"/>
    <w:rsid w:val="00B47006"/>
    <w:rsid w:val="00B47F18"/>
    <w:rsid w:val="00B5031E"/>
    <w:rsid w:val="00B50564"/>
    <w:rsid w:val="00B517AF"/>
    <w:rsid w:val="00B51837"/>
    <w:rsid w:val="00B57D18"/>
    <w:rsid w:val="00B73982"/>
    <w:rsid w:val="00B75E72"/>
    <w:rsid w:val="00B770F6"/>
    <w:rsid w:val="00B77337"/>
    <w:rsid w:val="00B7786F"/>
    <w:rsid w:val="00B8074E"/>
    <w:rsid w:val="00B82C86"/>
    <w:rsid w:val="00B833D6"/>
    <w:rsid w:val="00B83CCF"/>
    <w:rsid w:val="00B85FD4"/>
    <w:rsid w:val="00B86875"/>
    <w:rsid w:val="00B9379F"/>
    <w:rsid w:val="00B9520E"/>
    <w:rsid w:val="00B95D56"/>
    <w:rsid w:val="00B96FFD"/>
    <w:rsid w:val="00B97EB4"/>
    <w:rsid w:val="00BA03F0"/>
    <w:rsid w:val="00BA36B9"/>
    <w:rsid w:val="00BA4E9B"/>
    <w:rsid w:val="00BA5598"/>
    <w:rsid w:val="00BA60E2"/>
    <w:rsid w:val="00BB0EBD"/>
    <w:rsid w:val="00BB15F5"/>
    <w:rsid w:val="00BB5D7A"/>
    <w:rsid w:val="00BC3711"/>
    <w:rsid w:val="00BC42C8"/>
    <w:rsid w:val="00BC4438"/>
    <w:rsid w:val="00BD1813"/>
    <w:rsid w:val="00BD3D3C"/>
    <w:rsid w:val="00BD4DC1"/>
    <w:rsid w:val="00BD5A56"/>
    <w:rsid w:val="00BE2C2B"/>
    <w:rsid w:val="00BE33DC"/>
    <w:rsid w:val="00BF1BB0"/>
    <w:rsid w:val="00BF3DCF"/>
    <w:rsid w:val="00BF6005"/>
    <w:rsid w:val="00BF6EDA"/>
    <w:rsid w:val="00C01640"/>
    <w:rsid w:val="00C02E02"/>
    <w:rsid w:val="00C0649C"/>
    <w:rsid w:val="00C10059"/>
    <w:rsid w:val="00C10CC9"/>
    <w:rsid w:val="00C11A5F"/>
    <w:rsid w:val="00C16130"/>
    <w:rsid w:val="00C172C9"/>
    <w:rsid w:val="00C2021D"/>
    <w:rsid w:val="00C214FA"/>
    <w:rsid w:val="00C22921"/>
    <w:rsid w:val="00C237FE"/>
    <w:rsid w:val="00C246BE"/>
    <w:rsid w:val="00C24F2E"/>
    <w:rsid w:val="00C257BD"/>
    <w:rsid w:val="00C30AAE"/>
    <w:rsid w:val="00C407CB"/>
    <w:rsid w:val="00C41A6D"/>
    <w:rsid w:val="00C43925"/>
    <w:rsid w:val="00C47550"/>
    <w:rsid w:val="00C47D8F"/>
    <w:rsid w:val="00C55955"/>
    <w:rsid w:val="00C56657"/>
    <w:rsid w:val="00C6035D"/>
    <w:rsid w:val="00C631C5"/>
    <w:rsid w:val="00C63722"/>
    <w:rsid w:val="00C64D1A"/>
    <w:rsid w:val="00C6649F"/>
    <w:rsid w:val="00C72671"/>
    <w:rsid w:val="00C757EA"/>
    <w:rsid w:val="00C80A1F"/>
    <w:rsid w:val="00C90C9B"/>
    <w:rsid w:val="00C916FE"/>
    <w:rsid w:val="00C92E46"/>
    <w:rsid w:val="00C94EDF"/>
    <w:rsid w:val="00C96299"/>
    <w:rsid w:val="00C9673C"/>
    <w:rsid w:val="00CA4F60"/>
    <w:rsid w:val="00CA530D"/>
    <w:rsid w:val="00CA7BD2"/>
    <w:rsid w:val="00CB135E"/>
    <w:rsid w:val="00CB2E36"/>
    <w:rsid w:val="00CB33D1"/>
    <w:rsid w:val="00CC1597"/>
    <w:rsid w:val="00CC382E"/>
    <w:rsid w:val="00CC3B94"/>
    <w:rsid w:val="00CC4AD5"/>
    <w:rsid w:val="00CC55E7"/>
    <w:rsid w:val="00CC6413"/>
    <w:rsid w:val="00CC73E6"/>
    <w:rsid w:val="00CD0D31"/>
    <w:rsid w:val="00CD1607"/>
    <w:rsid w:val="00CD4470"/>
    <w:rsid w:val="00CD6001"/>
    <w:rsid w:val="00CD7388"/>
    <w:rsid w:val="00CE0CF6"/>
    <w:rsid w:val="00CE1779"/>
    <w:rsid w:val="00CE259C"/>
    <w:rsid w:val="00CE4964"/>
    <w:rsid w:val="00CE6B27"/>
    <w:rsid w:val="00CE70D0"/>
    <w:rsid w:val="00CE7D16"/>
    <w:rsid w:val="00CF0FEF"/>
    <w:rsid w:val="00CF1D48"/>
    <w:rsid w:val="00CF3E91"/>
    <w:rsid w:val="00CF42BC"/>
    <w:rsid w:val="00CF535C"/>
    <w:rsid w:val="00CF70B5"/>
    <w:rsid w:val="00D011C0"/>
    <w:rsid w:val="00D0391D"/>
    <w:rsid w:val="00D042B6"/>
    <w:rsid w:val="00D120A2"/>
    <w:rsid w:val="00D12E04"/>
    <w:rsid w:val="00D1662D"/>
    <w:rsid w:val="00D16EFC"/>
    <w:rsid w:val="00D22F15"/>
    <w:rsid w:val="00D23B21"/>
    <w:rsid w:val="00D24D26"/>
    <w:rsid w:val="00D24DBC"/>
    <w:rsid w:val="00D257E0"/>
    <w:rsid w:val="00D301F2"/>
    <w:rsid w:val="00D3597D"/>
    <w:rsid w:val="00D37988"/>
    <w:rsid w:val="00D406B1"/>
    <w:rsid w:val="00D41F2D"/>
    <w:rsid w:val="00D42A6E"/>
    <w:rsid w:val="00D42DC1"/>
    <w:rsid w:val="00D458C8"/>
    <w:rsid w:val="00D46979"/>
    <w:rsid w:val="00D50A88"/>
    <w:rsid w:val="00D510B3"/>
    <w:rsid w:val="00D6020C"/>
    <w:rsid w:val="00D60FAE"/>
    <w:rsid w:val="00D640D9"/>
    <w:rsid w:val="00D75D4A"/>
    <w:rsid w:val="00D772E3"/>
    <w:rsid w:val="00D80E02"/>
    <w:rsid w:val="00D87D59"/>
    <w:rsid w:val="00D90F99"/>
    <w:rsid w:val="00D9109D"/>
    <w:rsid w:val="00D91226"/>
    <w:rsid w:val="00D93E28"/>
    <w:rsid w:val="00D95C77"/>
    <w:rsid w:val="00DA3427"/>
    <w:rsid w:val="00DA3907"/>
    <w:rsid w:val="00DA46CE"/>
    <w:rsid w:val="00DA47A2"/>
    <w:rsid w:val="00DA6431"/>
    <w:rsid w:val="00DB5D17"/>
    <w:rsid w:val="00DC1229"/>
    <w:rsid w:val="00DC5AD0"/>
    <w:rsid w:val="00DC61D4"/>
    <w:rsid w:val="00DD57D0"/>
    <w:rsid w:val="00DD6CD8"/>
    <w:rsid w:val="00DE11D6"/>
    <w:rsid w:val="00DE1D8D"/>
    <w:rsid w:val="00DE1DC3"/>
    <w:rsid w:val="00DE31A2"/>
    <w:rsid w:val="00DE327B"/>
    <w:rsid w:val="00DE3422"/>
    <w:rsid w:val="00DE369A"/>
    <w:rsid w:val="00DE3F7B"/>
    <w:rsid w:val="00DE6436"/>
    <w:rsid w:val="00DF1CF0"/>
    <w:rsid w:val="00DF4EAA"/>
    <w:rsid w:val="00E00297"/>
    <w:rsid w:val="00E03395"/>
    <w:rsid w:val="00E06036"/>
    <w:rsid w:val="00E06259"/>
    <w:rsid w:val="00E06ADD"/>
    <w:rsid w:val="00E07534"/>
    <w:rsid w:val="00E07582"/>
    <w:rsid w:val="00E07ED8"/>
    <w:rsid w:val="00E10563"/>
    <w:rsid w:val="00E10CE8"/>
    <w:rsid w:val="00E119B0"/>
    <w:rsid w:val="00E13CD9"/>
    <w:rsid w:val="00E141F3"/>
    <w:rsid w:val="00E1495E"/>
    <w:rsid w:val="00E212A9"/>
    <w:rsid w:val="00E22828"/>
    <w:rsid w:val="00E2631F"/>
    <w:rsid w:val="00E325EB"/>
    <w:rsid w:val="00E32D8A"/>
    <w:rsid w:val="00E36FA0"/>
    <w:rsid w:val="00E42D6E"/>
    <w:rsid w:val="00E42D76"/>
    <w:rsid w:val="00E43525"/>
    <w:rsid w:val="00E43C52"/>
    <w:rsid w:val="00E46F6C"/>
    <w:rsid w:val="00E50CF6"/>
    <w:rsid w:val="00E51644"/>
    <w:rsid w:val="00E51723"/>
    <w:rsid w:val="00E52083"/>
    <w:rsid w:val="00E5382E"/>
    <w:rsid w:val="00E565FE"/>
    <w:rsid w:val="00E624F9"/>
    <w:rsid w:val="00E6444C"/>
    <w:rsid w:val="00E646D6"/>
    <w:rsid w:val="00E65511"/>
    <w:rsid w:val="00E66DAE"/>
    <w:rsid w:val="00E71D1C"/>
    <w:rsid w:val="00E7254E"/>
    <w:rsid w:val="00E7261F"/>
    <w:rsid w:val="00E733B7"/>
    <w:rsid w:val="00E747FE"/>
    <w:rsid w:val="00E81DB4"/>
    <w:rsid w:val="00E85B1B"/>
    <w:rsid w:val="00E85D09"/>
    <w:rsid w:val="00E90336"/>
    <w:rsid w:val="00E9067A"/>
    <w:rsid w:val="00E969D7"/>
    <w:rsid w:val="00EA314B"/>
    <w:rsid w:val="00EA47B0"/>
    <w:rsid w:val="00EB04E7"/>
    <w:rsid w:val="00EB0DE0"/>
    <w:rsid w:val="00EB0F2A"/>
    <w:rsid w:val="00EB2824"/>
    <w:rsid w:val="00EB422F"/>
    <w:rsid w:val="00EB5ED6"/>
    <w:rsid w:val="00EC1172"/>
    <w:rsid w:val="00EC4843"/>
    <w:rsid w:val="00EC7B47"/>
    <w:rsid w:val="00ED0617"/>
    <w:rsid w:val="00ED258C"/>
    <w:rsid w:val="00ED3771"/>
    <w:rsid w:val="00ED4E1F"/>
    <w:rsid w:val="00ED6892"/>
    <w:rsid w:val="00EE27EF"/>
    <w:rsid w:val="00EE29DD"/>
    <w:rsid w:val="00EE3B54"/>
    <w:rsid w:val="00EE4A9B"/>
    <w:rsid w:val="00EE677C"/>
    <w:rsid w:val="00EE7DD1"/>
    <w:rsid w:val="00EF2958"/>
    <w:rsid w:val="00F01F6D"/>
    <w:rsid w:val="00F052D6"/>
    <w:rsid w:val="00F065AE"/>
    <w:rsid w:val="00F13CA3"/>
    <w:rsid w:val="00F17C69"/>
    <w:rsid w:val="00F17F35"/>
    <w:rsid w:val="00F2631F"/>
    <w:rsid w:val="00F279D9"/>
    <w:rsid w:val="00F32F0A"/>
    <w:rsid w:val="00F343F7"/>
    <w:rsid w:val="00F36168"/>
    <w:rsid w:val="00F36606"/>
    <w:rsid w:val="00F508FA"/>
    <w:rsid w:val="00F5113E"/>
    <w:rsid w:val="00F51244"/>
    <w:rsid w:val="00F5169A"/>
    <w:rsid w:val="00F5362C"/>
    <w:rsid w:val="00F54545"/>
    <w:rsid w:val="00F5459E"/>
    <w:rsid w:val="00F5551A"/>
    <w:rsid w:val="00F569F8"/>
    <w:rsid w:val="00F608EB"/>
    <w:rsid w:val="00F60A80"/>
    <w:rsid w:val="00F67712"/>
    <w:rsid w:val="00F677B9"/>
    <w:rsid w:val="00F707B7"/>
    <w:rsid w:val="00F72221"/>
    <w:rsid w:val="00F72DA7"/>
    <w:rsid w:val="00F7335D"/>
    <w:rsid w:val="00F757A3"/>
    <w:rsid w:val="00F8282A"/>
    <w:rsid w:val="00F8764B"/>
    <w:rsid w:val="00F94A2A"/>
    <w:rsid w:val="00F968B5"/>
    <w:rsid w:val="00FA0DCF"/>
    <w:rsid w:val="00FA1A4C"/>
    <w:rsid w:val="00FB19E8"/>
    <w:rsid w:val="00FC223C"/>
    <w:rsid w:val="00FC6E7B"/>
    <w:rsid w:val="00FD449B"/>
    <w:rsid w:val="00FE3AE2"/>
    <w:rsid w:val="00FF2A4B"/>
    <w:rsid w:val="00FF5626"/>
    <w:rsid w:val="00FF7E33"/>
    <w:rsid w:val="012E113E"/>
    <w:rsid w:val="014A8C16"/>
    <w:rsid w:val="01683E7F"/>
    <w:rsid w:val="0181ADB9"/>
    <w:rsid w:val="019F01F6"/>
    <w:rsid w:val="019FE02B"/>
    <w:rsid w:val="0201242E"/>
    <w:rsid w:val="021112DF"/>
    <w:rsid w:val="028DB4D9"/>
    <w:rsid w:val="03910A42"/>
    <w:rsid w:val="040593B3"/>
    <w:rsid w:val="043184CD"/>
    <w:rsid w:val="04869493"/>
    <w:rsid w:val="04974481"/>
    <w:rsid w:val="04BD5CB0"/>
    <w:rsid w:val="0556EA15"/>
    <w:rsid w:val="05A7AA06"/>
    <w:rsid w:val="05C3EE0E"/>
    <w:rsid w:val="062A6A4F"/>
    <w:rsid w:val="0673AB11"/>
    <w:rsid w:val="06A0284B"/>
    <w:rsid w:val="074053E3"/>
    <w:rsid w:val="07730DDF"/>
    <w:rsid w:val="07CEDDC3"/>
    <w:rsid w:val="083728A8"/>
    <w:rsid w:val="084F8DD1"/>
    <w:rsid w:val="0861E2CC"/>
    <w:rsid w:val="0869ACB6"/>
    <w:rsid w:val="08A45298"/>
    <w:rsid w:val="08D84644"/>
    <w:rsid w:val="090C4588"/>
    <w:rsid w:val="093488DA"/>
    <w:rsid w:val="09B02B65"/>
    <w:rsid w:val="0A0E9FC5"/>
    <w:rsid w:val="0A1BCB60"/>
    <w:rsid w:val="0A2E3A63"/>
    <w:rsid w:val="0AAC2B4E"/>
    <w:rsid w:val="0AB8B8FD"/>
    <w:rsid w:val="0ABD3711"/>
    <w:rsid w:val="0B0A403F"/>
    <w:rsid w:val="0B4C8271"/>
    <w:rsid w:val="0BFFE30F"/>
    <w:rsid w:val="0C0CDEF8"/>
    <w:rsid w:val="0D8D754F"/>
    <w:rsid w:val="0D9ADDB3"/>
    <w:rsid w:val="0DC1800C"/>
    <w:rsid w:val="0DC9555E"/>
    <w:rsid w:val="0DF3D4A2"/>
    <w:rsid w:val="0E1DD55E"/>
    <w:rsid w:val="0E4AD9EE"/>
    <w:rsid w:val="0E5E0EC3"/>
    <w:rsid w:val="0EE88E79"/>
    <w:rsid w:val="0EF14422"/>
    <w:rsid w:val="0F48CA88"/>
    <w:rsid w:val="0F8B3547"/>
    <w:rsid w:val="0FBD610A"/>
    <w:rsid w:val="0FE881D8"/>
    <w:rsid w:val="1034C02B"/>
    <w:rsid w:val="10392E10"/>
    <w:rsid w:val="109022BE"/>
    <w:rsid w:val="109A4ACA"/>
    <w:rsid w:val="10C24011"/>
    <w:rsid w:val="112F28E6"/>
    <w:rsid w:val="113AEEAA"/>
    <w:rsid w:val="114C5871"/>
    <w:rsid w:val="1165C2C1"/>
    <w:rsid w:val="116EA474"/>
    <w:rsid w:val="1171A4C3"/>
    <w:rsid w:val="118975E8"/>
    <w:rsid w:val="1194D102"/>
    <w:rsid w:val="11AA03C1"/>
    <w:rsid w:val="11AE5B5E"/>
    <w:rsid w:val="12276A3E"/>
    <w:rsid w:val="126FCB83"/>
    <w:rsid w:val="1331F4E6"/>
    <w:rsid w:val="135792B6"/>
    <w:rsid w:val="137597D1"/>
    <w:rsid w:val="137BFBFD"/>
    <w:rsid w:val="13AE7416"/>
    <w:rsid w:val="14409E42"/>
    <w:rsid w:val="14C8FF9A"/>
    <w:rsid w:val="15AA3EA0"/>
    <w:rsid w:val="15E3AE12"/>
    <w:rsid w:val="1693C9E0"/>
    <w:rsid w:val="17251D49"/>
    <w:rsid w:val="1766F331"/>
    <w:rsid w:val="185F8E1D"/>
    <w:rsid w:val="18A05554"/>
    <w:rsid w:val="19579116"/>
    <w:rsid w:val="1AD30117"/>
    <w:rsid w:val="1B8870B7"/>
    <w:rsid w:val="1CA48E57"/>
    <w:rsid w:val="1CF3194C"/>
    <w:rsid w:val="1D4A7D9C"/>
    <w:rsid w:val="1DB7CA96"/>
    <w:rsid w:val="1DCB80AA"/>
    <w:rsid w:val="1DF6636B"/>
    <w:rsid w:val="1E08E4E9"/>
    <w:rsid w:val="1E18EA97"/>
    <w:rsid w:val="1EBF2423"/>
    <w:rsid w:val="1ED60509"/>
    <w:rsid w:val="1EF13E3A"/>
    <w:rsid w:val="1EF95CA1"/>
    <w:rsid w:val="1F402407"/>
    <w:rsid w:val="1F956BFF"/>
    <w:rsid w:val="203C5AB1"/>
    <w:rsid w:val="20664F69"/>
    <w:rsid w:val="21246837"/>
    <w:rsid w:val="213571A6"/>
    <w:rsid w:val="214B1D08"/>
    <w:rsid w:val="219C21E7"/>
    <w:rsid w:val="2225198F"/>
    <w:rsid w:val="2262BBF5"/>
    <w:rsid w:val="228D612A"/>
    <w:rsid w:val="232F0717"/>
    <w:rsid w:val="23D7E7E6"/>
    <w:rsid w:val="2401DD36"/>
    <w:rsid w:val="247878CE"/>
    <w:rsid w:val="2512E6C9"/>
    <w:rsid w:val="2521C118"/>
    <w:rsid w:val="256938FB"/>
    <w:rsid w:val="25A3F22E"/>
    <w:rsid w:val="25BDB7A5"/>
    <w:rsid w:val="260F16B8"/>
    <w:rsid w:val="2633E2BB"/>
    <w:rsid w:val="269D70AE"/>
    <w:rsid w:val="26B5E85E"/>
    <w:rsid w:val="27118D61"/>
    <w:rsid w:val="271DB885"/>
    <w:rsid w:val="2737B56D"/>
    <w:rsid w:val="27B9CA5C"/>
    <w:rsid w:val="2849673A"/>
    <w:rsid w:val="28EEE2DD"/>
    <w:rsid w:val="29AD1651"/>
    <w:rsid w:val="2A02259E"/>
    <w:rsid w:val="2AEF2FC4"/>
    <w:rsid w:val="2B3B4597"/>
    <w:rsid w:val="2CA55D9E"/>
    <w:rsid w:val="2CBBA4B2"/>
    <w:rsid w:val="2D58724E"/>
    <w:rsid w:val="2D6EADEA"/>
    <w:rsid w:val="2E134F17"/>
    <w:rsid w:val="2E83BD06"/>
    <w:rsid w:val="2EE27CBB"/>
    <w:rsid w:val="2F27BEBF"/>
    <w:rsid w:val="3057D5A0"/>
    <w:rsid w:val="305C02B0"/>
    <w:rsid w:val="30795BE3"/>
    <w:rsid w:val="30B18D6D"/>
    <w:rsid w:val="30C191A4"/>
    <w:rsid w:val="30FC2FA3"/>
    <w:rsid w:val="3136E2FF"/>
    <w:rsid w:val="31F438A4"/>
    <w:rsid w:val="3218D100"/>
    <w:rsid w:val="322E7C93"/>
    <w:rsid w:val="324B3EAD"/>
    <w:rsid w:val="32667014"/>
    <w:rsid w:val="332B4541"/>
    <w:rsid w:val="3374145D"/>
    <w:rsid w:val="339C9A08"/>
    <w:rsid w:val="33C1BA95"/>
    <w:rsid w:val="33C8CB0E"/>
    <w:rsid w:val="34233F07"/>
    <w:rsid w:val="34B3EA6F"/>
    <w:rsid w:val="34DF2DBD"/>
    <w:rsid w:val="34E87691"/>
    <w:rsid w:val="3599F60F"/>
    <w:rsid w:val="367A59E6"/>
    <w:rsid w:val="368B2DD2"/>
    <w:rsid w:val="375CAE10"/>
    <w:rsid w:val="37AB7D70"/>
    <w:rsid w:val="3819E4F3"/>
    <w:rsid w:val="3858890E"/>
    <w:rsid w:val="3860155E"/>
    <w:rsid w:val="38B04FB6"/>
    <w:rsid w:val="39027B1B"/>
    <w:rsid w:val="391BE9FF"/>
    <w:rsid w:val="392A1EBB"/>
    <w:rsid w:val="396C27C0"/>
    <w:rsid w:val="39D0CB1F"/>
    <w:rsid w:val="3A023539"/>
    <w:rsid w:val="3A0575E9"/>
    <w:rsid w:val="3A56EACE"/>
    <w:rsid w:val="3A987C27"/>
    <w:rsid w:val="3AAB4149"/>
    <w:rsid w:val="3AC327B7"/>
    <w:rsid w:val="3ACF8B47"/>
    <w:rsid w:val="3B1C7B10"/>
    <w:rsid w:val="3BA96862"/>
    <w:rsid w:val="3C000F6E"/>
    <w:rsid w:val="3C872198"/>
    <w:rsid w:val="3D1FA2F6"/>
    <w:rsid w:val="3D3864A3"/>
    <w:rsid w:val="3D6F6349"/>
    <w:rsid w:val="3DA378E6"/>
    <w:rsid w:val="3DB47C90"/>
    <w:rsid w:val="3DC681EE"/>
    <w:rsid w:val="3E213FB0"/>
    <w:rsid w:val="3E695A5E"/>
    <w:rsid w:val="3EE96DA3"/>
    <w:rsid w:val="3FA402C7"/>
    <w:rsid w:val="3FB077E1"/>
    <w:rsid w:val="4044AC93"/>
    <w:rsid w:val="40700950"/>
    <w:rsid w:val="407EA9C8"/>
    <w:rsid w:val="40D6E848"/>
    <w:rsid w:val="40E2819C"/>
    <w:rsid w:val="4138E21F"/>
    <w:rsid w:val="41851C04"/>
    <w:rsid w:val="41AD740F"/>
    <w:rsid w:val="41F2EC5D"/>
    <w:rsid w:val="42F2DC53"/>
    <w:rsid w:val="43039BEF"/>
    <w:rsid w:val="438984FB"/>
    <w:rsid w:val="43F3C569"/>
    <w:rsid w:val="44692201"/>
    <w:rsid w:val="446A4067"/>
    <w:rsid w:val="44DAA137"/>
    <w:rsid w:val="451549CE"/>
    <w:rsid w:val="453893AB"/>
    <w:rsid w:val="457B4082"/>
    <w:rsid w:val="45D6DC6E"/>
    <w:rsid w:val="45EC2627"/>
    <w:rsid w:val="45F58362"/>
    <w:rsid w:val="46110C2D"/>
    <w:rsid w:val="46711162"/>
    <w:rsid w:val="46DF31AF"/>
    <w:rsid w:val="4770CA89"/>
    <w:rsid w:val="478F14FF"/>
    <w:rsid w:val="479843D8"/>
    <w:rsid w:val="47A7D1BF"/>
    <w:rsid w:val="47D0BA53"/>
    <w:rsid w:val="480546DD"/>
    <w:rsid w:val="4805528B"/>
    <w:rsid w:val="48D1B105"/>
    <w:rsid w:val="48D7D72E"/>
    <w:rsid w:val="49377832"/>
    <w:rsid w:val="49649A81"/>
    <w:rsid w:val="4A2E25C9"/>
    <w:rsid w:val="4A383627"/>
    <w:rsid w:val="4A38D9AD"/>
    <w:rsid w:val="4A7282A6"/>
    <w:rsid w:val="4A77966D"/>
    <w:rsid w:val="4AC3550B"/>
    <w:rsid w:val="4B1B05A0"/>
    <w:rsid w:val="4CC98D29"/>
    <w:rsid w:val="4CD38719"/>
    <w:rsid w:val="4CDAC3F3"/>
    <w:rsid w:val="4CE113ED"/>
    <w:rsid w:val="4D5F2FE4"/>
    <w:rsid w:val="4DA210FD"/>
    <w:rsid w:val="4DFCA9A8"/>
    <w:rsid w:val="4E1EBF07"/>
    <w:rsid w:val="4E21D7DE"/>
    <w:rsid w:val="4EF78D74"/>
    <w:rsid w:val="4F701F76"/>
    <w:rsid w:val="5060B6AB"/>
    <w:rsid w:val="5077975A"/>
    <w:rsid w:val="5142E1A0"/>
    <w:rsid w:val="52C80F9C"/>
    <w:rsid w:val="52FAC5D2"/>
    <w:rsid w:val="531DF0FC"/>
    <w:rsid w:val="533117D1"/>
    <w:rsid w:val="53733A32"/>
    <w:rsid w:val="540CEFE8"/>
    <w:rsid w:val="54FDD94D"/>
    <w:rsid w:val="557443B1"/>
    <w:rsid w:val="55D2D0D4"/>
    <w:rsid w:val="560CCC51"/>
    <w:rsid w:val="560D2834"/>
    <w:rsid w:val="56460885"/>
    <w:rsid w:val="566F687F"/>
    <w:rsid w:val="578555DE"/>
    <w:rsid w:val="57ACBA93"/>
    <w:rsid w:val="580BCF52"/>
    <w:rsid w:val="584906CF"/>
    <w:rsid w:val="59973237"/>
    <w:rsid w:val="5A9D406B"/>
    <w:rsid w:val="5AAFCC6B"/>
    <w:rsid w:val="5B4427FD"/>
    <w:rsid w:val="5B7D77C8"/>
    <w:rsid w:val="5C5EB96B"/>
    <w:rsid w:val="5C9E7AE9"/>
    <w:rsid w:val="5CB42DE6"/>
    <w:rsid w:val="5CFE840F"/>
    <w:rsid w:val="5D70EDCB"/>
    <w:rsid w:val="5DB3ABEF"/>
    <w:rsid w:val="5DF3B660"/>
    <w:rsid w:val="5E5F0A18"/>
    <w:rsid w:val="5EAD1EFD"/>
    <w:rsid w:val="5F3641F4"/>
    <w:rsid w:val="5F7C44AA"/>
    <w:rsid w:val="5F950646"/>
    <w:rsid w:val="5FA8C432"/>
    <w:rsid w:val="5FC25823"/>
    <w:rsid w:val="5FEFDD38"/>
    <w:rsid w:val="60018044"/>
    <w:rsid w:val="60FA9797"/>
    <w:rsid w:val="61824630"/>
    <w:rsid w:val="61A0EBDB"/>
    <w:rsid w:val="61FEFAB4"/>
    <w:rsid w:val="620ADEF1"/>
    <w:rsid w:val="62CB4438"/>
    <w:rsid w:val="62E4CB75"/>
    <w:rsid w:val="63078C23"/>
    <w:rsid w:val="63BEBFD5"/>
    <w:rsid w:val="63DC2D01"/>
    <w:rsid w:val="6494D520"/>
    <w:rsid w:val="6501F980"/>
    <w:rsid w:val="6529B275"/>
    <w:rsid w:val="65399E65"/>
    <w:rsid w:val="65B03F21"/>
    <w:rsid w:val="65BAC354"/>
    <w:rsid w:val="65E46CF5"/>
    <w:rsid w:val="662A92B3"/>
    <w:rsid w:val="665314C8"/>
    <w:rsid w:val="679E0FB0"/>
    <w:rsid w:val="67A86060"/>
    <w:rsid w:val="67C4F1D4"/>
    <w:rsid w:val="67F3193D"/>
    <w:rsid w:val="680B34B7"/>
    <w:rsid w:val="681D451B"/>
    <w:rsid w:val="6839A03F"/>
    <w:rsid w:val="68EDDB7E"/>
    <w:rsid w:val="696FF652"/>
    <w:rsid w:val="6972579B"/>
    <w:rsid w:val="69B5DC3F"/>
    <w:rsid w:val="69E46E3E"/>
    <w:rsid w:val="6A1ABD2B"/>
    <w:rsid w:val="6A1CBDDC"/>
    <w:rsid w:val="6A1D3178"/>
    <w:rsid w:val="6AC846CB"/>
    <w:rsid w:val="6B1CF5E8"/>
    <w:rsid w:val="6B344953"/>
    <w:rsid w:val="6B4B04F3"/>
    <w:rsid w:val="6BA694EF"/>
    <w:rsid w:val="6BCB7E6C"/>
    <w:rsid w:val="6C547F06"/>
    <w:rsid w:val="6CBBE7C6"/>
    <w:rsid w:val="6CD9B719"/>
    <w:rsid w:val="6D803E58"/>
    <w:rsid w:val="6DFD075C"/>
    <w:rsid w:val="6E13B84B"/>
    <w:rsid w:val="6E285AE6"/>
    <w:rsid w:val="6E9820B9"/>
    <w:rsid w:val="6ED76801"/>
    <w:rsid w:val="6EFA4E95"/>
    <w:rsid w:val="6EFDCC7A"/>
    <w:rsid w:val="6F19D9F4"/>
    <w:rsid w:val="6F9E342E"/>
    <w:rsid w:val="6FA6818A"/>
    <w:rsid w:val="6FB76E8F"/>
    <w:rsid w:val="6FBC0785"/>
    <w:rsid w:val="6FCE8A14"/>
    <w:rsid w:val="6FD41FDA"/>
    <w:rsid w:val="70182D70"/>
    <w:rsid w:val="70510A79"/>
    <w:rsid w:val="705CF55C"/>
    <w:rsid w:val="706C87A8"/>
    <w:rsid w:val="707CEA1D"/>
    <w:rsid w:val="708181B2"/>
    <w:rsid w:val="70E13C04"/>
    <w:rsid w:val="716F53E5"/>
    <w:rsid w:val="7197893B"/>
    <w:rsid w:val="71D0DF6D"/>
    <w:rsid w:val="7224E946"/>
    <w:rsid w:val="72325416"/>
    <w:rsid w:val="7271FA7E"/>
    <w:rsid w:val="72DC9927"/>
    <w:rsid w:val="72DCF52B"/>
    <w:rsid w:val="7335E0B1"/>
    <w:rsid w:val="7346F48C"/>
    <w:rsid w:val="7371B9D5"/>
    <w:rsid w:val="747153D5"/>
    <w:rsid w:val="757920AA"/>
    <w:rsid w:val="75D21896"/>
    <w:rsid w:val="7640BF57"/>
    <w:rsid w:val="7693615F"/>
    <w:rsid w:val="7764F70A"/>
    <w:rsid w:val="776977A6"/>
    <w:rsid w:val="7774702E"/>
    <w:rsid w:val="77A97D6C"/>
    <w:rsid w:val="77B0A436"/>
    <w:rsid w:val="7836B363"/>
    <w:rsid w:val="784008C7"/>
    <w:rsid w:val="78F0856D"/>
    <w:rsid w:val="7A82E59A"/>
    <w:rsid w:val="7ABDBA25"/>
    <w:rsid w:val="7B88BAE1"/>
    <w:rsid w:val="7BB89CE5"/>
    <w:rsid w:val="7BBE1773"/>
    <w:rsid w:val="7C8D8568"/>
    <w:rsid w:val="7D0DC41C"/>
    <w:rsid w:val="7D49BCA9"/>
    <w:rsid w:val="7DB55205"/>
    <w:rsid w:val="7DC3237B"/>
    <w:rsid w:val="7DF7C23B"/>
    <w:rsid w:val="7E0AA67E"/>
    <w:rsid w:val="7E53EB68"/>
    <w:rsid w:val="7E697A2C"/>
    <w:rsid w:val="7EBF4A62"/>
    <w:rsid w:val="7FE31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18728"/>
  <w15:docId w15:val="{905CFE2F-861E-443D-B658-C104C5EBC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2762A2"/>
    <w:pPr>
      <w:numPr>
        <w:numId w:val="16"/>
      </w:numPr>
      <w:tabs>
        <w:tab w:val="left" w:pos="791"/>
      </w:tabs>
      <w:spacing w:before="91"/>
      <w:outlineLvl w:val="0"/>
    </w:pPr>
    <w:rPr>
      <w:rFonts w:ascii="Calibri Light" w:eastAsia="Calibri Light" w:hAnsi="Calibri Light" w:cs="Calibri Light"/>
      <w:color w:val="2E5395"/>
      <w:spacing w:val="-2"/>
      <w:sz w:val="32"/>
      <w:szCs w:val="32"/>
    </w:rPr>
  </w:style>
  <w:style w:type="paragraph" w:styleId="Heading2">
    <w:name w:val="heading 2"/>
    <w:basedOn w:val="Normal"/>
    <w:uiPriority w:val="9"/>
    <w:unhideWhenUsed/>
    <w:qFormat/>
    <w:rsid w:val="00CF1D48"/>
    <w:pPr>
      <w:numPr>
        <w:ilvl w:val="1"/>
        <w:numId w:val="16"/>
      </w:numPr>
      <w:tabs>
        <w:tab w:val="left" w:pos="935"/>
      </w:tabs>
      <w:spacing w:before="163"/>
      <w:outlineLvl w:val="1"/>
    </w:pPr>
    <w:rPr>
      <w:rFonts w:ascii="Calibri Light" w:eastAsia="Calibri Light" w:hAnsi="Calibri Light" w:cs="Calibri Light"/>
      <w:color w:val="2E5395"/>
      <w:sz w:val="26"/>
      <w:szCs w:val="26"/>
    </w:rPr>
  </w:style>
  <w:style w:type="paragraph" w:styleId="Heading3">
    <w:name w:val="heading 3"/>
    <w:basedOn w:val="Normal"/>
    <w:uiPriority w:val="9"/>
    <w:unhideWhenUsed/>
    <w:qFormat/>
    <w:pPr>
      <w:spacing w:before="153"/>
      <w:ind w:left="1838"/>
      <w:outlineLvl w:val="2"/>
    </w:pPr>
    <w:rPr>
      <w:rFonts w:ascii="Cambria Math" w:eastAsia="Cambria Math" w:hAnsi="Cambria Math" w:cs="Cambria Math"/>
      <w:b/>
      <w:bCs/>
      <w:i/>
      <w:iCs/>
      <w:sz w:val="23"/>
      <w:szCs w:val="23"/>
    </w:rPr>
  </w:style>
  <w:style w:type="paragraph" w:styleId="Heading4">
    <w:name w:val="heading 4"/>
    <w:basedOn w:val="Normal"/>
    <w:uiPriority w:val="9"/>
    <w:unhideWhenUsed/>
    <w:qFormat/>
    <w:pPr>
      <w:spacing w:before="90"/>
      <w:ind w:left="360"/>
      <w:outlineLvl w:val="3"/>
    </w:pPr>
    <w:rPr>
      <w:b/>
      <w:bCs/>
    </w:rPr>
  </w:style>
  <w:style w:type="paragraph" w:styleId="Heading5">
    <w:name w:val="heading 5"/>
    <w:basedOn w:val="Normal"/>
    <w:uiPriority w:val="9"/>
    <w:unhideWhenUsed/>
    <w:qFormat/>
    <w:pPr>
      <w:ind w:left="1800" w:hanging="360"/>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799" w:hanging="439"/>
    </w:pPr>
  </w:style>
  <w:style w:type="paragraph" w:styleId="TOC2">
    <w:name w:val="toc 2"/>
    <w:basedOn w:val="Normal"/>
    <w:uiPriority w:val="39"/>
    <w:qFormat/>
    <w:pPr>
      <w:spacing w:before="120"/>
      <w:ind w:left="1319" w:hanging="739"/>
    </w:pPr>
  </w:style>
  <w:style w:type="paragraph" w:styleId="BodyText">
    <w:name w:val="Body Text"/>
    <w:basedOn w:val="Normal"/>
    <w:uiPriority w:val="1"/>
    <w:qFormat/>
    <w:rsid w:val="00041492"/>
    <w:pPr>
      <w:spacing w:before="160" w:line="259" w:lineRule="auto"/>
      <w:ind w:left="360" w:right="354"/>
    </w:pPr>
  </w:style>
  <w:style w:type="paragraph" w:styleId="Title">
    <w:name w:val="Title"/>
    <w:basedOn w:val="Normal"/>
    <w:uiPriority w:val="10"/>
    <w:qFormat/>
    <w:pPr>
      <w:ind w:left="360"/>
    </w:pPr>
    <w:rPr>
      <w:rFonts w:ascii="Calibri Light" w:eastAsia="Calibri Light" w:hAnsi="Calibri Light" w:cs="Calibri Light"/>
      <w:sz w:val="56"/>
      <w:szCs w:val="56"/>
    </w:rPr>
  </w:style>
  <w:style w:type="paragraph" w:styleId="ListParagraph">
    <w:name w:val="List Paragraph"/>
    <w:basedOn w:val="Normal"/>
    <w:uiPriority w:val="1"/>
    <w:qFormat/>
    <w:pPr>
      <w:ind w:left="1800" w:hanging="360"/>
    </w:pPr>
  </w:style>
  <w:style w:type="paragraph" w:customStyle="1" w:styleId="TableParagraph">
    <w:name w:val="Table Paragraph"/>
    <w:basedOn w:val="Normal"/>
    <w:uiPriority w:val="1"/>
    <w:qFormat/>
    <w:pPr>
      <w:spacing w:before="11" w:line="162" w:lineRule="exact"/>
      <w:ind w:left="16"/>
      <w:jc w:val="center"/>
    </w:pPr>
  </w:style>
  <w:style w:type="paragraph" w:styleId="Header">
    <w:name w:val="header"/>
    <w:basedOn w:val="Normal"/>
    <w:link w:val="HeaderChar"/>
    <w:uiPriority w:val="99"/>
    <w:unhideWhenUsed/>
    <w:rsid w:val="007B4D0A"/>
    <w:pPr>
      <w:tabs>
        <w:tab w:val="center" w:pos="4680"/>
        <w:tab w:val="right" w:pos="9360"/>
      </w:tabs>
    </w:pPr>
  </w:style>
  <w:style w:type="character" w:customStyle="1" w:styleId="HeaderChar">
    <w:name w:val="Header Char"/>
    <w:basedOn w:val="DefaultParagraphFont"/>
    <w:link w:val="Header"/>
    <w:uiPriority w:val="99"/>
    <w:rsid w:val="007B4D0A"/>
    <w:rPr>
      <w:rFonts w:ascii="Calibri" w:eastAsia="Calibri" w:hAnsi="Calibri" w:cs="Calibri"/>
    </w:rPr>
  </w:style>
  <w:style w:type="paragraph" w:styleId="Footer">
    <w:name w:val="footer"/>
    <w:basedOn w:val="Normal"/>
    <w:link w:val="FooterChar"/>
    <w:uiPriority w:val="99"/>
    <w:unhideWhenUsed/>
    <w:rsid w:val="007B4D0A"/>
    <w:pPr>
      <w:tabs>
        <w:tab w:val="center" w:pos="4680"/>
        <w:tab w:val="right" w:pos="9360"/>
      </w:tabs>
    </w:pPr>
  </w:style>
  <w:style w:type="character" w:customStyle="1" w:styleId="FooterChar">
    <w:name w:val="Footer Char"/>
    <w:basedOn w:val="DefaultParagraphFont"/>
    <w:link w:val="Footer"/>
    <w:uiPriority w:val="99"/>
    <w:rsid w:val="007B4D0A"/>
    <w:rPr>
      <w:rFonts w:ascii="Calibri" w:eastAsia="Calibri" w:hAnsi="Calibri" w:cs="Calibri"/>
    </w:rPr>
  </w:style>
  <w:style w:type="paragraph" w:styleId="TOCHeading">
    <w:name w:val="TOC Heading"/>
    <w:basedOn w:val="Heading1"/>
    <w:next w:val="Normal"/>
    <w:uiPriority w:val="39"/>
    <w:unhideWhenUsed/>
    <w:qFormat/>
    <w:rsid w:val="0028476B"/>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rPr>
  </w:style>
  <w:style w:type="paragraph" w:styleId="TOC3">
    <w:name w:val="toc 3"/>
    <w:basedOn w:val="Normal"/>
    <w:next w:val="Normal"/>
    <w:autoRedefine/>
    <w:uiPriority w:val="39"/>
    <w:unhideWhenUsed/>
    <w:rsid w:val="0028476B"/>
    <w:pPr>
      <w:spacing w:after="100"/>
      <w:ind w:left="440"/>
    </w:pPr>
  </w:style>
  <w:style w:type="character" w:styleId="Hyperlink">
    <w:name w:val="Hyperlink"/>
    <w:basedOn w:val="DefaultParagraphFont"/>
    <w:uiPriority w:val="99"/>
    <w:unhideWhenUsed/>
    <w:rsid w:val="0028476B"/>
    <w:rPr>
      <w:color w:val="0000FF" w:themeColor="hyperlink"/>
      <w:u w:val="single"/>
    </w:rPr>
  </w:style>
  <w:style w:type="paragraph" w:styleId="NormalWeb">
    <w:name w:val="Normal (Web)"/>
    <w:basedOn w:val="Normal"/>
    <w:uiPriority w:val="99"/>
    <w:semiHidden/>
    <w:unhideWhenUsed/>
    <w:rsid w:val="004C499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Spec">
    <w:name w:val="Spec"/>
    <w:basedOn w:val="Normal"/>
    <w:link w:val="SpecChar"/>
    <w:uiPriority w:val="1"/>
    <w:qFormat/>
    <w:rsid w:val="6E285AE6"/>
    <w:pPr>
      <w:spacing w:before="160" w:line="259" w:lineRule="auto"/>
      <w:ind w:left="720" w:right="720"/>
    </w:pPr>
    <w:rPr>
      <w:rFonts w:asciiTheme="minorHAnsi" w:eastAsiaTheme="minorEastAsia" w:hAnsiTheme="minorHAnsi" w:cstheme="minorBidi"/>
      <w:i/>
      <w:iCs/>
    </w:rPr>
  </w:style>
  <w:style w:type="character" w:customStyle="1" w:styleId="SpecChar">
    <w:name w:val="Spec Char"/>
    <w:basedOn w:val="DefaultParagraphFont"/>
    <w:link w:val="Spec"/>
    <w:rsid w:val="6E285AE6"/>
    <w:rPr>
      <w:rFonts w:asciiTheme="minorHAnsi" w:eastAsiaTheme="minorEastAsia" w:hAnsiTheme="minorHAnsi" w:cstheme="minorBidi"/>
      <w:i/>
      <w:iCs/>
      <w:sz w:val="22"/>
      <w:szCs w:val="2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3E0D4B"/>
    <w:rPr>
      <w:rFonts w:ascii="Calibri" w:eastAsia="Calibri" w:hAnsi="Calibri" w:cs="Calibri"/>
    </w:rPr>
  </w:style>
  <w:style w:type="paragraph" w:styleId="Revision">
    <w:name w:val="Revision"/>
    <w:hidden/>
    <w:uiPriority w:val="99"/>
    <w:semiHidden/>
    <w:rsid w:val="000C3CF3"/>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AD196A"/>
    <w:rPr>
      <w:sz w:val="16"/>
      <w:szCs w:val="16"/>
    </w:rPr>
  </w:style>
  <w:style w:type="paragraph" w:styleId="CommentText">
    <w:name w:val="annotation text"/>
    <w:basedOn w:val="Normal"/>
    <w:link w:val="CommentTextChar"/>
    <w:uiPriority w:val="99"/>
    <w:unhideWhenUsed/>
    <w:rsid w:val="00AD196A"/>
    <w:rPr>
      <w:sz w:val="20"/>
      <w:szCs w:val="20"/>
    </w:rPr>
  </w:style>
  <w:style w:type="character" w:customStyle="1" w:styleId="CommentTextChar">
    <w:name w:val="Comment Text Char"/>
    <w:basedOn w:val="DefaultParagraphFont"/>
    <w:link w:val="CommentText"/>
    <w:uiPriority w:val="99"/>
    <w:rsid w:val="00AD196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D196A"/>
    <w:rPr>
      <w:b/>
      <w:bCs/>
    </w:rPr>
  </w:style>
  <w:style w:type="character" w:customStyle="1" w:styleId="CommentSubjectChar">
    <w:name w:val="Comment Subject Char"/>
    <w:basedOn w:val="CommentTextChar"/>
    <w:link w:val="CommentSubject"/>
    <w:uiPriority w:val="99"/>
    <w:semiHidden/>
    <w:rsid w:val="00AD196A"/>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25056">
      <w:bodyDiv w:val="1"/>
      <w:marLeft w:val="0"/>
      <w:marRight w:val="0"/>
      <w:marTop w:val="0"/>
      <w:marBottom w:val="0"/>
      <w:divBdr>
        <w:top w:val="none" w:sz="0" w:space="0" w:color="auto"/>
        <w:left w:val="none" w:sz="0" w:space="0" w:color="auto"/>
        <w:bottom w:val="none" w:sz="0" w:space="0" w:color="auto"/>
        <w:right w:val="none" w:sz="0" w:space="0" w:color="auto"/>
      </w:divBdr>
    </w:div>
    <w:div w:id="514810995">
      <w:bodyDiv w:val="1"/>
      <w:marLeft w:val="0"/>
      <w:marRight w:val="0"/>
      <w:marTop w:val="0"/>
      <w:marBottom w:val="0"/>
      <w:divBdr>
        <w:top w:val="none" w:sz="0" w:space="0" w:color="auto"/>
        <w:left w:val="none" w:sz="0" w:space="0" w:color="auto"/>
        <w:bottom w:val="none" w:sz="0" w:space="0" w:color="auto"/>
        <w:right w:val="none" w:sz="0" w:space="0" w:color="auto"/>
      </w:divBdr>
    </w:div>
    <w:div w:id="558367857">
      <w:bodyDiv w:val="1"/>
      <w:marLeft w:val="0"/>
      <w:marRight w:val="0"/>
      <w:marTop w:val="0"/>
      <w:marBottom w:val="0"/>
      <w:divBdr>
        <w:top w:val="none" w:sz="0" w:space="0" w:color="auto"/>
        <w:left w:val="none" w:sz="0" w:space="0" w:color="auto"/>
        <w:bottom w:val="none" w:sz="0" w:space="0" w:color="auto"/>
        <w:right w:val="none" w:sz="0" w:space="0" w:color="auto"/>
      </w:divBdr>
    </w:div>
    <w:div w:id="569073623">
      <w:bodyDiv w:val="1"/>
      <w:marLeft w:val="0"/>
      <w:marRight w:val="0"/>
      <w:marTop w:val="0"/>
      <w:marBottom w:val="0"/>
      <w:divBdr>
        <w:top w:val="none" w:sz="0" w:space="0" w:color="auto"/>
        <w:left w:val="none" w:sz="0" w:space="0" w:color="auto"/>
        <w:bottom w:val="none" w:sz="0" w:space="0" w:color="auto"/>
        <w:right w:val="none" w:sz="0" w:space="0" w:color="auto"/>
      </w:divBdr>
    </w:div>
    <w:div w:id="599414746">
      <w:bodyDiv w:val="1"/>
      <w:marLeft w:val="0"/>
      <w:marRight w:val="0"/>
      <w:marTop w:val="0"/>
      <w:marBottom w:val="0"/>
      <w:divBdr>
        <w:top w:val="none" w:sz="0" w:space="0" w:color="auto"/>
        <w:left w:val="none" w:sz="0" w:space="0" w:color="auto"/>
        <w:bottom w:val="none" w:sz="0" w:space="0" w:color="auto"/>
        <w:right w:val="none" w:sz="0" w:space="0" w:color="auto"/>
      </w:divBdr>
    </w:div>
    <w:div w:id="784080166">
      <w:bodyDiv w:val="1"/>
      <w:marLeft w:val="0"/>
      <w:marRight w:val="0"/>
      <w:marTop w:val="0"/>
      <w:marBottom w:val="0"/>
      <w:divBdr>
        <w:top w:val="none" w:sz="0" w:space="0" w:color="auto"/>
        <w:left w:val="none" w:sz="0" w:space="0" w:color="auto"/>
        <w:bottom w:val="none" w:sz="0" w:space="0" w:color="auto"/>
        <w:right w:val="none" w:sz="0" w:space="0" w:color="auto"/>
      </w:divBdr>
    </w:div>
    <w:div w:id="834147173">
      <w:bodyDiv w:val="1"/>
      <w:marLeft w:val="0"/>
      <w:marRight w:val="0"/>
      <w:marTop w:val="0"/>
      <w:marBottom w:val="0"/>
      <w:divBdr>
        <w:top w:val="none" w:sz="0" w:space="0" w:color="auto"/>
        <w:left w:val="none" w:sz="0" w:space="0" w:color="auto"/>
        <w:bottom w:val="none" w:sz="0" w:space="0" w:color="auto"/>
        <w:right w:val="none" w:sz="0" w:space="0" w:color="auto"/>
      </w:divBdr>
    </w:div>
    <w:div w:id="873541547">
      <w:bodyDiv w:val="1"/>
      <w:marLeft w:val="0"/>
      <w:marRight w:val="0"/>
      <w:marTop w:val="0"/>
      <w:marBottom w:val="0"/>
      <w:divBdr>
        <w:top w:val="none" w:sz="0" w:space="0" w:color="auto"/>
        <w:left w:val="none" w:sz="0" w:space="0" w:color="auto"/>
        <w:bottom w:val="none" w:sz="0" w:space="0" w:color="auto"/>
        <w:right w:val="none" w:sz="0" w:space="0" w:color="auto"/>
      </w:divBdr>
    </w:div>
    <w:div w:id="997346298">
      <w:bodyDiv w:val="1"/>
      <w:marLeft w:val="0"/>
      <w:marRight w:val="0"/>
      <w:marTop w:val="0"/>
      <w:marBottom w:val="0"/>
      <w:divBdr>
        <w:top w:val="none" w:sz="0" w:space="0" w:color="auto"/>
        <w:left w:val="none" w:sz="0" w:space="0" w:color="auto"/>
        <w:bottom w:val="none" w:sz="0" w:space="0" w:color="auto"/>
        <w:right w:val="none" w:sz="0" w:space="0" w:color="auto"/>
      </w:divBdr>
    </w:div>
    <w:div w:id="1106539841">
      <w:bodyDiv w:val="1"/>
      <w:marLeft w:val="0"/>
      <w:marRight w:val="0"/>
      <w:marTop w:val="0"/>
      <w:marBottom w:val="0"/>
      <w:divBdr>
        <w:top w:val="none" w:sz="0" w:space="0" w:color="auto"/>
        <w:left w:val="none" w:sz="0" w:space="0" w:color="auto"/>
        <w:bottom w:val="none" w:sz="0" w:space="0" w:color="auto"/>
        <w:right w:val="none" w:sz="0" w:space="0" w:color="auto"/>
      </w:divBdr>
    </w:div>
    <w:div w:id="1456755754">
      <w:bodyDiv w:val="1"/>
      <w:marLeft w:val="0"/>
      <w:marRight w:val="0"/>
      <w:marTop w:val="0"/>
      <w:marBottom w:val="0"/>
      <w:divBdr>
        <w:top w:val="none" w:sz="0" w:space="0" w:color="auto"/>
        <w:left w:val="none" w:sz="0" w:space="0" w:color="auto"/>
        <w:bottom w:val="none" w:sz="0" w:space="0" w:color="auto"/>
        <w:right w:val="none" w:sz="0" w:space="0" w:color="auto"/>
      </w:divBdr>
    </w:div>
    <w:div w:id="1472820034">
      <w:bodyDiv w:val="1"/>
      <w:marLeft w:val="0"/>
      <w:marRight w:val="0"/>
      <w:marTop w:val="0"/>
      <w:marBottom w:val="0"/>
      <w:divBdr>
        <w:top w:val="none" w:sz="0" w:space="0" w:color="auto"/>
        <w:left w:val="none" w:sz="0" w:space="0" w:color="auto"/>
        <w:bottom w:val="none" w:sz="0" w:space="0" w:color="auto"/>
        <w:right w:val="none" w:sz="0" w:space="0" w:color="auto"/>
      </w:divBdr>
    </w:div>
    <w:div w:id="1503348203">
      <w:bodyDiv w:val="1"/>
      <w:marLeft w:val="0"/>
      <w:marRight w:val="0"/>
      <w:marTop w:val="0"/>
      <w:marBottom w:val="0"/>
      <w:divBdr>
        <w:top w:val="none" w:sz="0" w:space="0" w:color="auto"/>
        <w:left w:val="none" w:sz="0" w:space="0" w:color="auto"/>
        <w:bottom w:val="none" w:sz="0" w:space="0" w:color="auto"/>
        <w:right w:val="none" w:sz="0" w:space="0" w:color="auto"/>
      </w:divBdr>
    </w:div>
    <w:div w:id="1505823466">
      <w:bodyDiv w:val="1"/>
      <w:marLeft w:val="0"/>
      <w:marRight w:val="0"/>
      <w:marTop w:val="0"/>
      <w:marBottom w:val="0"/>
      <w:divBdr>
        <w:top w:val="none" w:sz="0" w:space="0" w:color="auto"/>
        <w:left w:val="none" w:sz="0" w:space="0" w:color="auto"/>
        <w:bottom w:val="none" w:sz="0" w:space="0" w:color="auto"/>
        <w:right w:val="none" w:sz="0" w:space="0" w:color="auto"/>
      </w:divBdr>
    </w:div>
    <w:div w:id="1703284808">
      <w:bodyDiv w:val="1"/>
      <w:marLeft w:val="0"/>
      <w:marRight w:val="0"/>
      <w:marTop w:val="0"/>
      <w:marBottom w:val="0"/>
      <w:divBdr>
        <w:top w:val="none" w:sz="0" w:space="0" w:color="auto"/>
        <w:left w:val="none" w:sz="0" w:space="0" w:color="auto"/>
        <w:bottom w:val="none" w:sz="0" w:space="0" w:color="auto"/>
        <w:right w:val="none" w:sz="0" w:space="0" w:color="auto"/>
      </w:divBdr>
    </w:div>
    <w:div w:id="1711109056">
      <w:bodyDiv w:val="1"/>
      <w:marLeft w:val="0"/>
      <w:marRight w:val="0"/>
      <w:marTop w:val="0"/>
      <w:marBottom w:val="0"/>
      <w:divBdr>
        <w:top w:val="none" w:sz="0" w:space="0" w:color="auto"/>
        <w:left w:val="none" w:sz="0" w:space="0" w:color="auto"/>
        <w:bottom w:val="none" w:sz="0" w:space="0" w:color="auto"/>
        <w:right w:val="none" w:sz="0" w:space="0" w:color="auto"/>
      </w:divBdr>
    </w:div>
    <w:div w:id="1745760015">
      <w:bodyDiv w:val="1"/>
      <w:marLeft w:val="0"/>
      <w:marRight w:val="0"/>
      <w:marTop w:val="0"/>
      <w:marBottom w:val="0"/>
      <w:divBdr>
        <w:top w:val="none" w:sz="0" w:space="0" w:color="auto"/>
        <w:left w:val="none" w:sz="0" w:space="0" w:color="auto"/>
        <w:bottom w:val="none" w:sz="0" w:space="0" w:color="auto"/>
        <w:right w:val="none" w:sz="0" w:space="0" w:color="auto"/>
      </w:divBdr>
    </w:div>
    <w:div w:id="1893151580">
      <w:bodyDiv w:val="1"/>
      <w:marLeft w:val="0"/>
      <w:marRight w:val="0"/>
      <w:marTop w:val="0"/>
      <w:marBottom w:val="0"/>
      <w:divBdr>
        <w:top w:val="none" w:sz="0" w:space="0" w:color="auto"/>
        <w:left w:val="none" w:sz="0" w:space="0" w:color="auto"/>
        <w:bottom w:val="none" w:sz="0" w:space="0" w:color="auto"/>
        <w:right w:val="none" w:sz="0" w:space="0" w:color="auto"/>
      </w:divBdr>
    </w:div>
    <w:div w:id="1982031744">
      <w:bodyDiv w:val="1"/>
      <w:marLeft w:val="0"/>
      <w:marRight w:val="0"/>
      <w:marTop w:val="0"/>
      <w:marBottom w:val="0"/>
      <w:divBdr>
        <w:top w:val="none" w:sz="0" w:space="0" w:color="auto"/>
        <w:left w:val="none" w:sz="0" w:space="0" w:color="auto"/>
        <w:bottom w:val="none" w:sz="0" w:space="0" w:color="auto"/>
        <w:right w:val="none" w:sz="0" w:space="0" w:color="auto"/>
      </w:divBdr>
    </w:div>
    <w:div w:id="1999574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373D2-2EEE-4E35-90BD-4104351EF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7306</Words>
  <Characters>42668</Characters>
  <Application>Microsoft Office Word</Application>
  <DocSecurity>0</DocSecurity>
  <Lines>627</Lines>
  <Paragraphs>206</Paragraphs>
  <ScaleCrop>false</ScaleCrop>
  <Company/>
  <LinksUpToDate>false</LinksUpToDate>
  <CharactersWithSpaces>49768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Wonneberg</dc:creator>
  <cp:keywords/>
  <dc:description/>
  <cp:lastModifiedBy>Archer, Zach (Consultant)</cp:lastModifiedBy>
  <cp:revision>20</cp:revision>
  <dcterms:created xsi:type="dcterms:W3CDTF">2026-02-05T22:25:00Z</dcterms:created>
  <dcterms:modified xsi:type="dcterms:W3CDTF">2026-02-13T18:47:00Z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0x010100C6EA640F4E54A041861FE8CE4F8905A7</vt:lpwstr>
  </property>
  <property fmtid="{D5CDD505-2E9C-101B-9397-08002B2CF9AE}" pid="3" name="Created">
    <vt:filetime>2024-01-12T00:00:00Z</vt:filetime>
  </property>
  <property fmtid="{D5CDD505-2E9C-101B-9397-08002B2CF9AE}" pid="4" name="Creator">
    <vt:lpwstr>Acrobat PDFMaker 23 for Word</vt:lpwstr>
  </property>
  <property fmtid="{D5CDD505-2E9C-101B-9397-08002B2CF9AE}" pid="5" name="LastSaved">
    <vt:filetime>2025-08-25T00:00:00Z</vt:filetime>
  </property>
  <property fmtid="{D5CDD505-2E9C-101B-9397-08002B2CF9AE}" pid="6" name="Producer">
    <vt:lpwstr>Adobe PDF Library 23.8.234</vt:lpwstr>
  </property>
  <property fmtid="{D5CDD505-2E9C-101B-9397-08002B2CF9AE}" pid="7" name="SourceModified">
    <vt:lpwstr/>
  </property>
</Properties>
</file>